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1D2B" w:rsidRPr="00883D82" w:rsidRDefault="00331D2B">
      <w:pPr>
        <w:pStyle w:val="2"/>
        <w:jc w:val="center"/>
        <w:rPr>
          <w:lang w:val="en-US"/>
        </w:rPr>
      </w:pPr>
      <w:r w:rsidRPr="00883D82">
        <w:rPr>
          <w:lang w:val="en-US"/>
        </w:rPr>
        <w:t xml:space="preserve">Comparative analysis of the thermal stability of the </w:t>
      </w:r>
      <w:proofErr w:type="spellStart"/>
      <w:r w:rsidRPr="00883D82">
        <w:rPr>
          <w:lang w:val="en-US"/>
        </w:rPr>
        <w:t>triflate</w:t>
      </w:r>
      <w:proofErr w:type="spellEnd"/>
      <w:r w:rsidRPr="00883D82">
        <w:rPr>
          <w:lang w:val="en-US"/>
        </w:rPr>
        <w:t xml:space="preserve">, </w:t>
      </w:r>
      <w:proofErr w:type="spellStart"/>
      <w:r w:rsidRPr="00883D82">
        <w:rPr>
          <w:lang w:val="en-US"/>
        </w:rPr>
        <w:t>tosylate</w:t>
      </w:r>
      <w:proofErr w:type="spellEnd"/>
      <w:r w:rsidRPr="00883D82">
        <w:rPr>
          <w:lang w:val="en-US"/>
        </w:rPr>
        <w:t xml:space="preserve"> and </w:t>
      </w:r>
      <w:proofErr w:type="spellStart"/>
      <w:r w:rsidRPr="00883D82">
        <w:rPr>
          <w:lang w:val="en-US"/>
        </w:rPr>
        <w:t>tetrafluoroborate</w:t>
      </w:r>
      <w:proofErr w:type="spellEnd"/>
      <w:r w:rsidRPr="00883D82">
        <w:rPr>
          <w:lang w:val="en-US"/>
        </w:rPr>
        <w:t xml:space="preserve"> </w:t>
      </w:r>
      <w:proofErr w:type="spellStart"/>
      <w:r w:rsidRPr="00883D82">
        <w:rPr>
          <w:lang w:val="en-US"/>
        </w:rPr>
        <w:t>diazonium</w:t>
      </w:r>
      <w:proofErr w:type="spellEnd"/>
      <w:r w:rsidRPr="00883D82">
        <w:rPr>
          <w:lang w:val="en-US"/>
        </w:rPr>
        <w:t xml:space="preserve"> salts</w:t>
      </w:r>
    </w:p>
    <w:p w:rsidR="00331D2B" w:rsidRPr="00883D82" w:rsidRDefault="00331D2B">
      <w:pPr>
        <w:rPr>
          <w:lang w:val="en-US"/>
        </w:rPr>
      </w:pPr>
      <w:r w:rsidRPr="00883D82">
        <w:rPr>
          <w:lang w:val="en-US"/>
        </w:rPr>
        <w:t>Alexander A. Bondarev</w:t>
      </w:r>
      <w:proofErr w:type="gramStart"/>
      <w:r w:rsidRPr="00883D82">
        <w:rPr>
          <w:lang w:val="en-US"/>
        </w:rPr>
        <w:t>,</w:t>
      </w:r>
      <w:r w:rsidRPr="00883D82">
        <w:rPr>
          <w:vertAlign w:val="superscript"/>
          <w:lang w:val="en-US"/>
        </w:rPr>
        <w:t>1</w:t>
      </w:r>
      <w:proofErr w:type="gramEnd"/>
      <w:r w:rsidRPr="00883D82">
        <w:rPr>
          <w:lang w:val="en-US"/>
        </w:rPr>
        <w:t xml:space="preserve"> </w:t>
      </w:r>
      <w:proofErr w:type="spellStart"/>
      <w:r w:rsidRPr="00883D82">
        <w:rPr>
          <w:lang w:val="en-US"/>
        </w:rPr>
        <w:t>Evgeny</w:t>
      </w:r>
      <w:proofErr w:type="spellEnd"/>
      <w:r w:rsidRPr="00883D82">
        <w:rPr>
          <w:lang w:val="en-US"/>
        </w:rPr>
        <w:t xml:space="preserve"> V. Naumov,</w:t>
      </w:r>
      <w:r w:rsidRPr="00883D82">
        <w:rPr>
          <w:vertAlign w:val="superscript"/>
          <w:lang w:val="en-US"/>
        </w:rPr>
        <w:t>1</w:t>
      </w:r>
      <w:r w:rsidRPr="00883D82">
        <w:rPr>
          <w:lang w:val="en-US"/>
        </w:rPr>
        <w:t xml:space="preserve"> </w:t>
      </w:r>
    </w:p>
    <w:p w:rsidR="00331D2B" w:rsidRPr="00883D82" w:rsidRDefault="00331D2B">
      <w:pPr>
        <w:rPr>
          <w:lang w:val="en-US"/>
        </w:rPr>
      </w:pPr>
      <w:proofErr w:type="spellStart"/>
      <w:r w:rsidRPr="00883D82">
        <w:rPr>
          <w:lang w:val="en-US"/>
        </w:rPr>
        <w:t>Assiya</w:t>
      </w:r>
      <w:proofErr w:type="spellEnd"/>
      <w:r w:rsidRPr="00883D82">
        <w:rPr>
          <w:lang w:val="en-US"/>
        </w:rPr>
        <w:t xml:space="preserve"> </w:t>
      </w:r>
      <w:proofErr w:type="spellStart"/>
      <w:r w:rsidRPr="00883D82">
        <w:rPr>
          <w:lang w:val="en-US"/>
        </w:rPr>
        <w:t>Zh</w:t>
      </w:r>
      <w:proofErr w:type="spellEnd"/>
      <w:r w:rsidRPr="00883D82">
        <w:rPr>
          <w:lang w:val="en-US"/>
        </w:rPr>
        <w:t>. Kassanova</w:t>
      </w:r>
      <w:r w:rsidRPr="00883D82">
        <w:rPr>
          <w:vertAlign w:val="superscript"/>
          <w:lang w:val="en-US"/>
        </w:rPr>
        <w:t>2</w:t>
      </w:r>
      <w:r w:rsidRPr="00883D82">
        <w:rPr>
          <w:lang w:val="en-US"/>
        </w:rPr>
        <w:t>, Elena A. Krasnokutskaya</w:t>
      </w:r>
      <w:r w:rsidRPr="00883D82">
        <w:rPr>
          <w:vertAlign w:val="superscript"/>
          <w:lang w:val="en-US"/>
        </w:rPr>
        <w:t>2</w:t>
      </w:r>
      <w:r w:rsidRPr="00883D82">
        <w:rPr>
          <w:lang w:val="en-US"/>
        </w:rPr>
        <w:t xml:space="preserve">, </w:t>
      </w:r>
      <w:proofErr w:type="spellStart"/>
      <w:r w:rsidRPr="00883D82">
        <w:rPr>
          <w:lang w:val="en-US"/>
        </w:rPr>
        <w:t>Vicror</w:t>
      </w:r>
      <w:proofErr w:type="spellEnd"/>
      <w:r w:rsidRPr="00883D82">
        <w:rPr>
          <w:lang w:val="en-US"/>
        </w:rPr>
        <w:t xml:space="preserve"> D. Filimonov</w:t>
      </w:r>
      <w:r w:rsidRPr="00883D82">
        <w:rPr>
          <w:vertAlign w:val="superscript"/>
          <w:lang w:val="en-US"/>
        </w:rPr>
        <w:t>2</w:t>
      </w:r>
      <w:r w:rsidRPr="00883D82">
        <w:rPr>
          <w:lang w:val="en-US"/>
        </w:rPr>
        <w:t xml:space="preserve"> </w:t>
      </w:r>
    </w:p>
    <w:p w:rsidR="00331D2B" w:rsidRPr="00883D82" w:rsidRDefault="00331D2B">
      <w:pPr>
        <w:rPr>
          <w:lang w:val="en-US"/>
        </w:rPr>
      </w:pPr>
    </w:p>
    <w:p w:rsidR="00331D2B" w:rsidRPr="00883D82" w:rsidRDefault="00331D2B">
      <w:pPr>
        <w:rPr>
          <w:lang w:val="en-US"/>
        </w:rPr>
      </w:pPr>
      <w:r w:rsidRPr="00883D82">
        <w:rPr>
          <w:vertAlign w:val="superscript"/>
          <w:lang w:val="en-US"/>
        </w:rPr>
        <w:t>1 </w:t>
      </w:r>
      <w:r w:rsidRPr="00883D82">
        <w:rPr>
          <w:lang w:val="en-US"/>
        </w:rPr>
        <w:t>Department of Biomedicine, Altai State University, Barnaul, Russia, alex_root@mail.ru</w:t>
      </w:r>
    </w:p>
    <w:p w:rsidR="00331D2B" w:rsidRPr="00883D82" w:rsidRDefault="00331D2B">
      <w:pPr>
        <w:rPr>
          <w:lang w:val="en-US"/>
        </w:rPr>
      </w:pPr>
      <w:r w:rsidRPr="00883D82">
        <w:rPr>
          <w:vertAlign w:val="superscript"/>
          <w:lang w:val="en-US"/>
        </w:rPr>
        <w:t>2 </w:t>
      </w:r>
      <w:proofErr w:type="gramStart"/>
      <w:r w:rsidRPr="00883D82">
        <w:rPr>
          <w:lang w:val="en-US"/>
        </w:rPr>
        <w:t>Department</w:t>
      </w:r>
      <w:proofErr w:type="gramEnd"/>
      <w:r w:rsidRPr="00883D82">
        <w:rPr>
          <w:lang w:val="en-US"/>
        </w:rPr>
        <w:t xml:space="preserve"> of Organic Chemistry, Tomsk Polytechnic University, 634050 Tomsk, Russia  </w:t>
      </w:r>
    </w:p>
    <w:p w:rsidR="00331D2B" w:rsidRDefault="00331D2B">
      <w:pPr>
        <w:pStyle w:val="3"/>
      </w:pPr>
      <w:r>
        <w:t>Введение</w:t>
      </w:r>
    </w:p>
    <w:p w:rsidR="00331D2B" w:rsidRDefault="00331D2B">
      <w:proofErr w:type="spellStart"/>
      <w:r>
        <w:t>Диазониевые</w:t>
      </w:r>
      <w:proofErr w:type="spellEnd"/>
      <w:r>
        <w:t xml:space="preserve"> соли - важные и широко используемые реагенты для получения </w:t>
      </w:r>
      <w:proofErr w:type="spellStart"/>
      <w:r>
        <w:t>азокрасителей</w:t>
      </w:r>
      <w:proofErr w:type="spellEnd"/>
      <w:r>
        <w:t xml:space="preserve">, модификации полимеров, поверхностей, </w:t>
      </w:r>
      <w:proofErr w:type="spellStart"/>
      <w:r>
        <w:t>наночастиц</w:t>
      </w:r>
      <w:proofErr w:type="spellEnd"/>
      <w:r>
        <w:t xml:space="preserve"> и во многих других важных химических процессах. Однако</w:t>
      </w:r>
      <w:proofErr w:type="gramStart"/>
      <w:r>
        <w:t>,</w:t>
      </w:r>
      <w:proofErr w:type="gramEnd"/>
      <w:r>
        <w:t xml:space="preserve"> их использование связано с риском, так как большинство </w:t>
      </w:r>
      <w:proofErr w:type="spellStart"/>
      <w:r>
        <w:t>диазониевых</w:t>
      </w:r>
      <w:proofErr w:type="spellEnd"/>
      <w:r>
        <w:t xml:space="preserve"> солей подвергается самопроизвольному разложению с выделением энергии и молекулярного азота. В литературе описаны результаты исследований чувствительности </w:t>
      </w:r>
      <w:proofErr w:type="spellStart"/>
      <w:r>
        <w:t>диазониевых</w:t>
      </w:r>
      <w:proofErr w:type="spellEnd"/>
      <w:r>
        <w:t xml:space="preserve"> солей к удару, воздействию пламени и света [1, 2]. Однако, мы не нашли данных по изучению кинетики разложения </w:t>
      </w:r>
      <w:proofErr w:type="spellStart"/>
      <w:r>
        <w:t>диазониевых</w:t>
      </w:r>
      <w:proofErr w:type="spellEnd"/>
      <w:r>
        <w:t xml:space="preserve"> солей в изотермических условиях. Для оценки безопасности хранения полученных соединений мы использовали стандартную процедуру для оценки стабильности взрывчатых веществ и порохов - STANAG, применяемую в странах НАТО [3, 4]. Кроме того был проведен более подробный кинетический анализ кривых разложения при трех температурах с целью определения энергий активации и кинетических параметров при нормальных условиях. </w:t>
      </w:r>
    </w:p>
    <w:p w:rsidR="00331D2B" w:rsidRDefault="00331D2B">
      <w:pPr>
        <w:pStyle w:val="3"/>
      </w:pPr>
      <w:r w:rsidRPr="00EB7454">
        <w:rPr>
          <w:highlight w:val="yellow"/>
        </w:rPr>
        <w:t>Материалы и методы</w:t>
      </w:r>
    </w:p>
    <w:p w:rsidR="00331D2B" w:rsidRDefault="00331D2B">
      <w:r>
        <w:t xml:space="preserve">Для проведения исследования были синтезированы </w:t>
      </w:r>
      <w:proofErr w:type="spellStart"/>
      <w:r>
        <w:t>тозилатные</w:t>
      </w:r>
      <w:proofErr w:type="spellEnd"/>
      <w:r>
        <w:t xml:space="preserve">, </w:t>
      </w:r>
      <w:proofErr w:type="spellStart"/>
      <w:r>
        <w:t>трифлатные</w:t>
      </w:r>
      <w:proofErr w:type="spellEnd"/>
      <w:r>
        <w:t xml:space="preserve"> и </w:t>
      </w:r>
      <w:proofErr w:type="spellStart"/>
      <w:r>
        <w:t>тетрафторборатные</w:t>
      </w:r>
      <w:proofErr w:type="spellEnd"/>
      <w:r>
        <w:t xml:space="preserve"> соли 4-метокси, 2-, 3- и 4-нитрофенилдиазония.</w:t>
      </w:r>
    </w:p>
    <w:p w:rsidR="00331D2B" w:rsidRDefault="00331D2B">
      <w:r>
        <w:t xml:space="preserve">Синтез </w:t>
      </w:r>
      <w:proofErr w:type="spellStart"/>
      <w:r>
        <w:t>тозилата</w:t>
      </w:r>
      <w:proofErr w:type="spellEnd"/>
      <w:r>
        <w:t xml:space="preserve"> 4-нитрофенилдиазония проводили при температуре 0-5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. В 5 мл ледяной уксусной кислоты растворили 0,928 г </w:t>
      </w:r>
      <w:proofErr w:type="spellStart"/>
      <w:r>
        <w:t>п-толуолсульфокислоты</w:t>
      </w:r>
      <w:proofErr w:type="spellEnd"/>
      <w:r>
        <w:t xml:space="preserve"> и к полученному раствору добавили  0,553 г </w:t>
      </w:r>
      <w:proofErr w:type="spellStart"/>
      <w:r>
        <w:t>п-нитроанилина</w:t>
      </w:r>
      <w:proofErr w:type="spellEnd"/>
      <w:r>
        <w:t xml:space="preserve">. Затем, при охлаждении по каплям прибавляли 0,6 мл </w:t>
      </w:r>
      <w:proofErr w:type="spellStart"/>
      <w:r>
        <w:t>бутилнитрита</w:t>
      </w:r>
      <w:proofErr w:type="spellEnd"/>
      <w:r>
        <w:t xml:space="preserve">. Реакцию проводили до исчезновения аминов, контролируя по ТСХ с реактивом Эрлиха. Продукт проверяли качественной реакцией с </w:t>
      </w:r>
      <w:proofErr w:type="spellStart"/>
      <w:proofErr w:type="gramStart"/>
      <w:r>
        <w:t>бета-нафтолом</w:t>
      </w:r>
      <w:proofErr w:type="spellEnd"/>
      <w:proofErr w:type="gramEnd"/>
      <w:r>
        <w:t xml:space="preserve">. После исчезновения аминов (спустя 5-10 минут) полученную соль </w:t>
      </w:r>
      <w:proofErr w:type="spellStart"/>
      <w:r>
        <w:t>диазония</w:t>
      </w:r>
      <w:proofErr w:type="spellEnd"/>
      <w:r>
        <w:t xml:space="preserve"> осаждали холодным </w:t>
      </w:r>
      <w:proofErr w:type="spellStart"/>
      <w:r>
        <w:t>диэтиловым</w:t>
      </w:r>
      <w:proofErr w:type="spellEnd"/>
      <w:r>
        <w:t xml:space="preserve"> эфиром и фильтровали. Продукт сушили в </w:t>
      </w:r>
      <w:proofErr w:type="spellStart"/>
      <w:proofErr w:type="gramStart"/>
      <w:r>
        <w:t>вакуум-эксикаторе</w:t>
      </w:r>
      <w:proofErr w:type="spellEnd"/>
      <w:proofErr w:type="gramEnd"/>
      <w:r>
        <w:t xml:space="preserve"> 48 часов.</w:t>
      </w:r>
    </w:p>
    <w:p w:rsidR="00331D2B" w:rsidRDefault="00331D2B">
      <w:r>
        <w:t xml:space="preserve">Синтез </w:t>
      </w:r>
      <w:proofErr w:type="spellStart"/>
      <w:r>
        <w:t>трифлатов</w:t>
      </w:r>
      <w:proofErr w:type="spellEnd"/>
      <w:r>
        <w:t xml:space="preserve"> осуществляли при температуре 0-5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. В 5 мл ледяной уксусной кислоты растворяли 0,5 мл </w:t>
      </w:r>
      <w:proofErr w:type="spellStart"/>
      <w:r>
        <w:t>трифторметансульфокислоты</w:t>
      </w:r>
      <w:proofErr w:type="spellEnd"/>
      <w:r>
        <w:t xml:space="preserve"> и к полученному раствору добавляли 0,553 г </w:t>
      </w:r>
      <w:proofErr w:type="spellStart"/>
      <w:r>
        <w:t>п-нитроанилина</w:t>
      </w:r>
      <w:proofErr w:type="spellEnd"/>
      <w:r>
        <w:t xml:space="preserve">. Затем при охлаждении по каплям прибавляли 0,6 мл </w:t>
      </w:r>
      <w:proofErr w:type="spellStart"/>
      <w:r>
        <w:t>бутилнитрита</w:t>
      </w:r>
      <w:proofErr w:type="spellEnd"/>
      <w:r>
        <w:t xml:space="preserve">. Реакцию проводили до исчезновения аминов, контролируя по ТСХ с реактивом Эрлиха. Продукт проверяли качественной реакцией с </w:t>
      </w:r>
      <w:proofErr w:type="spellStart"/>
      <w:proofErr w:type="gramStart"/>
      <w:r>
        <w:t>бета-нафтолом</w:t>
      </w:r>
      <w:proofErr w:type="spellEnd"/>
      <w:proofErr w:type="gramEnd"/>
      <w:r>
        <w:t xml:space="preserve">. После исчезновения аминов (спустя 5-10 минут) полученную соль </w:t>
      </w:r>
      <w:proofErr w:type="spellStart"/>
      <w:r>
        <w:t>диазония</w:t>
      </w:r>
      <w:proofErr w:type="spellEnd"/>
      <w:r>
        <w:t xml:space="preserve"> осаждали холодным </w:t>
      </w:r>
      <w:proofErr w:type="spellStart"/>
      <w:r>
        <w:t>диэтиловым</w:t>
      </w:r>
      <w:proofErr w:type="spellEnd"/>
      <w:r>
        <w:t xml:space="preserve"> эфиром и фильтровали. Продукт сушили в </w:t>
      </w:r>
      <w:proofErr w:type="spellStart"/>
      <w:proofErr w:type="gramStart"/>
      <w:r>
        <w:t>вакуум-эксикаторе</w:t>
      </w:r>
      <w:proofErr w:type="spellEnd"/>
      <w:proofErr w:type="gramEnd"/>
      <w:r>
        <w:t xml:space="preserve"> 48 часов. </w:t>
      </w:r>
    </w:p>
    <w:p w:rsidR="00331D2B" w:rsidRDefault="00331D2B">
      <w:r>
        <w:lastRenderedPageBreak/>
        <w:t xml:space="preserve">Синтез </w:t>
      </w:r>
      <w:proofErr w:type="spellStart"/>
      <w:r>
        <w:t>тетрафторбората</w:t>
      </w:r>
      <w:proofErr w:type="spellEnd"/>
      <w:r>
        <w:t xml:space="preserve"> 4-нитрофенилдиазония проводили при температуре -5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. Сначала готовили раствор 0,555 г нитрита натрия в 3 мл воды. Отдельно растворяли 1,025 г </w:t>
      </w:r>
      <w:proofErr w:type="spellStart"/>
      <w:r>
        <w:t>п-нитроанилина</w:t>
      </w:r>
      <w:proofErr w:type="spellEnd"/>
      <w:r>
        <w:t xml:space="preserve"> в 5 мл 40 % тетрафторборной кислоты. Затем, при охлаждении добавляли по каплям раствор нитрита натрия. Спустя 10 минут выпавший осадок фильтровали и промывали холодным </w:t>
      </w:r>
      <w:proofErr w:type="spellStart"/>
      <w:r>
        <w:t>диэтиловым</w:t>
      </w:r>
      <w:proofErr w:type="spellEnd"/>
      <w:r>
        <w:t xml:space="preserve"> эфиром.</w:t>
      </w:r>
    </w:p>
    <w:p w:rsidR="00331D2B" w:rsidRDefault="00331D2B">
      <w:proofErr w:type="spellStart"/>
      <w:r>
        <w:t>Переосаждение</w:t>
      </w:r>
      <w:proofErr w:type="spellEnd"/>
      <w:r>
        <w:t xml:space="preserve"> проводили из растворов </w:t>
      </w:r>
      <w:proofErr w:type="spellStart"/>
      <w:r>
        <w:t>диазониевых</w:t>
      </w:r>
      <w:proofErr w:type="spellEnd"/>
      <w:r>
        <w:t xml:space="preserve"> солей в ледяной уксусной кислоте с последующим осаждением холодным </w:t>
      </w:r>
      <w:proofErr w:type="spellStart"/>
      <w:r>
        <w:t>диэтиловым</w:t>
      </w:r>
      <w:proofErr w:type="spellEnd"/>
      <w:r>
        <w:t xml:space="preserve"> эфиром. Затем, полученные осадки фильтровали и сушили под вакуумом в течении 48 часов как рекомендовано в статье [1].</w:t>
      </w:r>
    </w:p>
    <w:p w:rsidR="00331D2B" w:rsidRDefault="00331D2B">
      <w:r>
        <w:t xml:space="preserve">Исследования ТГ/ДСК проводили на приборе Q600 SDT фирмы TA </w:t>
      </w:r>
      <w:proofErr w:type="spellStart"/>
      <w:proofErr w:type="gramStart"/>
      <w:r>
        <w:t>Instruments</w:t>
      </w:r>
      <w:proofErr w:type="spellEnd"/>
      <w:proofErr w:type="gramEnd"/>
      <w:r>
        <w:t xml:space="preserve"> а атмосфере аргона. </w:t>
      </w:r>
    </w:p>
    <w:p w:rsidR="00331D2B" w:rsidRDefault="00331D2B">
      <w:r>
        <w:t>Метод, лежащий в основе STANAG процедуры, основан на измерении максимального теплового потока в течени</w:t>
      </w:r>
      <w:proofErr w:type="gramStart"/>
      <w:r>
        <w:t>и</w:t>
      </w:r>
      <w:proofErr w:type="gramEnd"/>
      <w:r>
        <w:t xml:space="preserve"> определенного времени при заданной температуре [3, 4]. Измерение теплового потока в изотермических условиях выполняли на микрокалориметре TAM III фирмы TA </w:t>
      </w:r>
      <w:proofErr w:type="spellStart"/>
      <w:r>
        <w:t>Instruments</w:t>
      </w:r>
      <w:proofErr w:type="spellEnd"/>
      <w:r>
        <w:t xml:space="preserve"> в атмосфере азота. </w:t>
      </w:r>
    </w:p>
    <w:p w:rsidR="00331D2B" w:rsidRDefault="00331D2B">
      <w:pPr>
        <w:pStyle w:val="3"/>
      </w:pPr>
      <w:r>
        <w:t>Результаты и обсуждения</w:t>
      </w:r>
    </w:p>
    <w:p w:rsidR="00331D2B" w:rsidRDefault="00331D2B">
      <w:pPr>
        <w:pStyle w:val="a1"/>
      </w:pPr>
      <w:r>
        <w:t xml:space="preserve">Перед началом исследования стоял вопрос о </w:t>
      </w:r>
      <w:proofErr w:type="spellStart"/>
      <w:r>
        <w:t>воспроизводимости</w:t>
      </w:r>
      <w:proofErr w:type="spellEnd"/>
      <w:r>
        <w:t xml:space="preserve"> результатов в зависимости от способа синтеза, партии и </w:t>
      </w:r>
      <w:proofErr w:type="spellStart"/>
      <w:r>
        <w:t>пробоподготовки</w:t>
      </w:r>
      <w:proofErr w:type="spellEnd"/>
      <w:r>
        <w:t xml:space="preserve">. Устойчивость </w:t>
      </w:r>
      <w:proofErr w:type="spellStart"/>
      <w:r>
        <w:t>диазониевых</w:t>
      </w:r>
      <w:proofErr w:type="spellEnd"/>
      <w:r>
        <w:t xml:space="preserve"> солей очень сильно связана с наличием примесей, поэтому были проведены предварительные исследования по </w:t>
      </w:r>
      <w:proofErr w:type="spellStart"/>
      <w:r>
        <w:t>воспроизводимости</w:t>
      </w:r>
      <w:proofErr w:type="spellEnd"/>
      <w:r>
        <w:t xml:space="preserve"> результатов от партии и числа </w:t>
      </w:r>
      <w:proofErr w:type="spellStart"/>
      <w:r>
        <w:t>переосаждений</w:t>
      </w:r>
      <w:proofErr w:type="spellEnd"/>
      <w:r>
        <w:t xml:space="preserve">. При </w:t>
      </w:r>
      <w:proofErr w:type="spellStart"/>
      <w:r>
        <w:t>переосаждении</w:t>
      </w:r>
      <w:proofErr w:type="spellEnd"/>
      <w:r>
        <w:t xml:space="preserve"> наблюдается тенденция уменьшения величины максимального и начального теплового потока, однако статистически достоверных различий не выявлено. Очевидно, очистку необходимо проводить до тех пор, пока величина начального теплового потока не перестанет уменьшаться. </w:t>
      </w:r>
      <w:proofErr w:type="spellStart"/>
      <w:r>
        <w:t>Воспроизводимость</w:t>
      </w:r>
      <w:proofErr w:type="spellEnd"/>
      <w:r>
        <w:t xml:space="preserve"> результатов изотермического разложения</w:t>
      </w:r>
      <w:r w:rsidR="00883D82">
        <w:t xml:space="preserve"> </w:t>
      </w:r>
      <w:r w:rsidR="00883D82" w:rsidRPr="00883D82">
        <w:rPr>
          <w:highlight w:val="red"/>
        </w:rPr>
        <w:t>температура</w:t>
      </w:r>
      <w:proofErr w:type="gramStart"/>
      <w:r w:rsidR="00883D82" w:rsidRPr="00883D82">
        <w:rPr>
          <w:highlight w:val="red"/>
        </w:rPr>
        <w:t xml:space="preserve"> ?</w:t>
      </w:r>
      <w:proofErr w:type="gramEnd"/>
      <w:r w:rsidR="00883D82">
        <w:t xml:space="preserve"> </w:t>
      </w:r>
      <w:r>
        <w:t xml:space="preserve"> разных партий </w:t>
      </w:r>
      <w:proofErr w:type="spellStart"/>
      <w:r>
        <w:t>диазониевых</w:t>
      </w:r>
      <w:proofErr w:type="spellEnd"/>
      <w:r>
        <w:t xml:space="preserve"> солей полученных по одной методике представлена на рисунке №1. Кроме этого, важно удаление остатков уксусной кислоты и </w:t>
      </w:r>
      <w:proofErr w:type="spellStart"/>
      <w:r>
        <w:t>диэтилового</w:t>
      </w:r>
      <w:proofErr w:type="spellEnd"/>
      <w:r>
        <w:t xml:space="preserve"> эфира. Поэтому полученные осадки сушили при 25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под вакуумом в течени</w:t>
      </w:r>
      <w:proofErr w:type="gramStart"/>
      <w:r>
        <w:t>и</w:t>
      </w:r>
      <w:proofErr w:type="gramEnd"/>
      <w:r>
        <w:t xml:space="preserve"> 48 часов. </w:t>
      </w:r>
    </w:p>
    <w:p w:rsidR="00331D2B" w:rsidRDefault="00294362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512445</wp:posOffset>
            </wp:positionH>
            <wp:positionV relativeFrom="paragraph">
              <wp:posOffset>198755</wp:posOffset>
            </wp:positionV>
            <wp:extent cx="5095240" cy="3822065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3822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D2B" w:rsidRDefault="00331D2B">
      <w:pPr>
        <w:jc w:val="center"/>
      </w:pPr>
      <w:r>
        <w:t xml:space="preserve">Рисунок 1. </w:t>
      </w:r>
      <w:proofErr w:type="spellStart"/>
      <w:r>
        <w:t>Воспроизводимость</w:t>
      </w:r>
      <w:proofErr w:type="spellEnd"/>
      <w:r>
        <w:t xml:space="preserve"> результатов изотермического разложения  </w:t>
      </w:r>
    </w:p>
    <w:p w:rsidR="00331D2B" w:rsidRDefault="00331D2B">
      <w:pPr>
        <w:jc w:val="center"/>
      </w:pPr>
      <w:proofErr w:type="spellStart"/>
      <w:r>
        <w:t>тозилата</w:t>
      </w:r>
      <w:proofErr w:type="spellEnd"/>
      <w:r>
        <w:t xml:space="preserve"> 4-нитрофенилдиазония в зависимости от полученной партии и </w:t>
      </w:r>
    </w:p>
    <w:p w:rsidR="00331D2B" w:rsidRDefault="00331D2B">
      <w:pPr>
        <w:jc w:val="center"/>
      </w:pPr>
      <w:r>
        <w:t xml:space="preserve">числа </w:t>
      </w:r>
      <w:proofErr w:type="spellStart"/>
      <w:r>
        <w:t>переосаждений</w:t>
      </w:r>
      <w:proofErr w:type="spellEnd"/>
      <w:r w:rsidR="00883D82">
        <w:t xml:space="preserve"> </w:t>
      </w:r>
      <w:r w:rsidR="00883D82" w:rsidRPr="00883D82">
        <w:rPr>
          <w:highlight w:val="red"/>
        </w:rPr>
        <w:t>температура</w:t>
      </w:r>
      <w:proofErr w:type="gramStart"/>
      <w:r w:rsidR="00883D82" w:rsidRPr="00883D82">
        <w:rPr>
          <w:highlight w:val="red"/>
        </w:rPr>
        <w:t xml:space="preserve"> ?</w:t>
      </w:r>
      <w:proofErr w:type="gramEnd"/>
    </w:p>
    <w:p w:rsidR="00331D2B" w:rsidRDefault="00331D2B"/>
    <w:p w:rsidR="00331D2B" w:rsidRDefault="00331D2B">
      <w:r>
        <w:t xml:space="preserve">ТГ/ДСК исследуемых образцов показали, что все соли разлагаются с выделением тепла и потерей массы. </w:t>
      </w:r>
      <w:proofErr w:type="gramStart"/>
      <w:r>
        <w:t xml:space="preserve">Для </w:t>
      </w:r>
      <w:proofErr w:type="spellStart"/>
      <w:r>
        <w:t>тозилата</w:t>
      </w:r>
      <w:proofErr w:type="spellEnd"/>
      <w:r>
        <w:t xml:space="preserve"> 4-нитрофенилдиазония наблюдается основной экзотермический пик при 137,28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с выделением 340 Дж/г. Для </w:t>
      </w:r>
      <w:proofErr w:type="spellStart"/>
      <w:r>
        <w:t>трифлата</w:t>
      </w:r>
      <w:proofErr w:type="spellEnd"/>
      <w:r>
        <w:t xml:space="preserve"> 4-нитрофенилдиазония наблюдается основной экзотермический пик при 117,8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с выделением 140 Дж/г. Для </w:t>
      </w:r>
      <w:proofErr w:type="spellStart"/>
      <w:r>
        <w:t>тозилата</w:t>
      </w:r>
      <w:proofErr w:type="spellEnd"/>
      <w:r>
        <w:t xml:space="preserve"> 4-метоксифенилдиазония наблюдается два пика переходящих друг в друга, эндотермический при 88,4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с поглощением 102 Дж/г и экзотермический пик при 136,6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с выделением 329 Дж/г</w:t>
      </w:r>
      <w:proofErr w:type="gramEnd"/>
      <w:r>
        <w:t>.</w:t>
      </w:r>
    </w:p>
    <w:p w:rsidR="00331D2B" w:rsidRDefault="00331D2B">
      <w:r>
        <w:t>Результаты изотермического разложения при 75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, 80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, 90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 представлены в таблице №1 и  рисунках №1-3. По результатам эксперимента значения максимального теплового потока для 4-нитрофенилдиазониевых солей практически не зависят от аниона и значительно превышают допустимый уровень STANAG процедуры для условий безопасного хранения. </w:t>
      </w:r>
      <w:proofErr w:type="gramStart"/>
      <w:r>
        <w:t>Согласно процедуре, вещество является стабильным при хранении, если при температуре 75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в течении 19 дней тепловой поток не превысит 63,1 мкВт/г, при 80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114 мкВт/г в течении 10,6 дней и при 85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 измерения проводят 6 дней и тепловой поток должен быть меньше 201 мкВт/г. </w:t>
      </w:r>
      <w:proofErr w:type="spellStart"/>
      <w:r>
        <w:t>Трифлат</w:t>
      </w:r>
      <w:proofErr w:type="spellEnd"/>
      <w:r>
        <w:t xml:space="preserve"> 4-метоксифенилдиазония также не удовлетворяет критерию STANAG процедуры и является</w:t>
      </w:r>
      <w:proofErr w:type="gramEnd"/>
      <w:r>
        <w:t xml:space="preserve"> </w:t>
      </w:r>
      <w:proofErr w:type="gramStart"/>
      <w:r>
        <w:t>нестабильной</w:t>
      </w:r>
      <w:proofErr w:type="gramEnd"/>
      <w:r>
        <w:t xml:space="preserve"> при хранении, но имеет значительно меньшие показатели максимального теплового потока. В ряду </w:t>
      </w:r>
      <w:proofErr w:type="spellStart"/>
      <w:r>
        <w:t>трифлатов</w:t>
      </w:r>
      <w:proofErr w:type="spellEnd"/>
      <w:r>
        <w:t xml:space="preserve"> 4-, 3- и 2-нитрофенилдиазония наблюдается уменьшение величины максимального теплового потока. </w:t>
      </w:r>
    </w:p>
    <w:p w:rsidR="00331D2B" w:rsidRDefault="00331D2B"/>
    <w:p w:rsidR="00331D2B" w:rsidRDefault="00331D2B">
      <w:pPr>
        <w:jc w:val="right"/>
      </w:pPr>
      <w:r>
        <w:t>Таблица 1.</w:t>
      </w:r>
    </w:p>
    <w:p w:rsidR="00331D2B" w:rsidRDefault="00331D2B">
      <w:pPr>
        <w:jc w:val="center"/>
      </w:pPr>
      <w:r>
        <w:t xml:space="preserve">Интегральная энтальпия и величина максимального теплового потока </w:t>
      </w:r>
    </w:p>
    <w:p w:rsidR="00331D2B" w:rsidRDefault="00331D2B">
      <w:pPr>
        <w:jc w:val="center"/>
      </w:pPr>
      <w:r>
        <w:t>при разложении солей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14"/>
        <w:gridCol w:w="1081"/>
        <w:gridCol w:w="1081"/>
        <w:gridCol w:w="1112"/>
        <w:gridCol w:w="1163"/>
        <w:gridCol w:w="1152"/>
        <w:gridCol w:w="1235"/>
      </w:tblGrid>
      <w:tr w:rsidR="00331D2B">
        <w:trPr>
          <w:tblHeader/>
        </w:trPr>
        <w:tc>
          <w:tcPr>
            <w:tcW w:w="2814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9"/>
              <w:spacing w:line="240" w:lineRule="auto"/>
              <w:ind w:firstLine="0"/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Substance</w:t>
            </w:r>
            <w:proofErr w:type="spellEnd"/>
          </w:p>
        </w:tc>
        <w:tc>
          <w:tcPr>
            <w:tcW w:w="3274" w:type="dxa"/>
            <w:gridSpan w:val="3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9"/>
              <w:spacing w:line="240" w:lineRule="auto"/>
              <w:ind w:firstLine="0"/>
            </w:pPr>
            <w:r>
              <w:rPr>
                <w:rFonts w:ascii="Symbol" w:hAnsi="Symbol" w:cs="Symbol"/>
                <w:b w:val="0"/>
                <w:bCs w:val="0"/>
              </w:rPr>
              <w:t></w:t>
            </w:r>
            <w:r>
              <w:rPr>
                <w:rFonts w:ascii="Times New Roman" w:hAnsi="Times New Roman"/>
                <w:b w:val="0"/>
                <w:bCs w:val="0"/>
              </w:rPr>
              <w:t xml:space="preserve">H, </w:t>
            </w:r>
            <w:proofErr w:type="spellStart"/>
            <w:r>
              <w:rPr>
                <w:rFonts w:ascii="Times New Roman" w:hAnsi="Times New Roman"/>
                <w:b w:val="0"/>
                <w:bCs w:val="0"/>
              </w:rPr>
              <w:t>kJ</w:t>
            </w:r>
            <w:proofErr w:type="spellEnd"/>
            <w:r>
              <w:rPr>
                <w:rFonts w:ascii="Times New Roman" w:hAnsi="Times New Roman"/>
                <w:b w:val="0"/>
                <w:bCs w:val="0"/>
              </w:rPr>
              <w:t>/</w:t>
            </w:r>
            <w:proofErr w:type="spellStart"/>
            <w:r>
              <w:rPr>
                <w:rFonts w:ascii="Times New Roman" w:hAnsi="Times New Roman"/>
                <w:b w:val="0"/>
                <w:bCs w:val="0"/>
              </w:rPr>
              <w:t>mol</w:t>
            </w:r>
            <w:proofErr w:type="spellEnd"/>
          </w:p>
        </w:tc>
        <w:tc>
          <w:tcPr>
            <w:tcW w:w="3550" w:type="dxa"/>
            <w:gridSpan w:val="3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P </w:t>
            </w:r>
            <w:proofErr w:type="spellStart"/>
            <w:r>
              <w:rPr>
                <w:rFonts w:ascii="Times New Roman" w:hAnsi="Times New Roman"/>
              </w:rPr>
              <w:t>max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mW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g</w:t>
            </w:r>
            <w:proofErr w:type="spellEnd"/>
          </w:p>
        </w:tc>
      </w:tr>
      <w:tr w:rsidR="00331D2B">
        <w:tc>
          <w:tcPr>
            <w:tcW w:w="2814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/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75</w:t>
            </w:r>
            <w:r>
              <w:rPr>
                <w:rFonts w:ascii="Times New Roman" w:hAnsi="Times New Roman"/>
                <w:vertAlign w:val="superscript"/>
              </w:rPr>
              <w:t>o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80</w:t>
            </w:r>
            <w:r>
              <w:rPr>
                <w:rFonts w:ascii="Times New Roman" w:hAnsi="Times New Roman"/>
                <w:vertAlign w:val="superscript"/>
              </w:rPr>
              <w:t>o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85</w:t>
            </w:r>
            <w:r>
              <w:rPr>
                <w:rFonts w:ascii="Times New Roman" w:hAnsi="Times New Roman"/>
                <w:vertAlign w:val="superscript"/>
              </w:rPr>
              <w:t>o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75</w:t>
            </w:r>
            <w:r>
              <w:rPr>
                <w:rFonts w:ascii="Times New Roman" w:hAnsi="Times New Roman"/>
                <w:vertAlign w:val="superscript"/>
              </w:rPr>
              <w:t>o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80</w:t>
            </w:r>
            <w:r>
              <w:rPr>
                <w:rFonts w:ascii="Times New Roman" w:hAnsi="Times New Roman"/>
                <w:vertAlign w:val="superscript"/>
              </w:rPr>
              <w:t>o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85</w:t>
            </w:r>
            <w:r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331D2B">
        <w:tc>
          <w:tcPr>
            <w:tcW w:w="28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BF</w:t>
            </w:r>
            <w:r>
              <w:rPr>
                <w:rFonts w:ascii="Times New Roman" w:hAnsi="Times New Roman"/>
                <w:position w:val="-13"/>
              </w:rPr>
              <w:t>4</w:t>
            </w:r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173.0 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156.0 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147.0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20.02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31.63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66.87</w:t>
            </w:r>
          </w:p>
        </w:tc>
      </w:tr>
      <w:tr w:rsidR="00331D2B">
        <w:tc>
          <w:tcPr>
            <w:tcW w:w="28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TsO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253.0 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232.4 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231.0 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21.10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34.82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64.60</w:t>
            </w:r>
          </w:p>
        </w:tc>
      </w:tr>
      <w:tr w:rsidR="00331D2B">
        <w:trPr>
          <w:trHeight w:val="532"/>
        </w:trPr>
        <w:tc>
          <w:tcPr>
            <w:tcW w:w="28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200.0 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235.1 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  <w:color w:val="000000"/>
              </w:rPr>
              <w:t>250.0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20.12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47.89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101.50</w:t>
            </w:r>
          </w:p>
        </w:tc>
      </w:tr>
      <w:tr w:rsidR="00331D2B">
        <w:trPr>
          <w:trHeight w:val="532"/>
        </w:trPr>
        <w:tc>
          <w:tcPr>
            <w:tcW w:w="28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m-NO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227,9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230.0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  <w:color w:val="000000"/>
              </w:rPr>
              <w:t>225.4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6,57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14.15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28.8</w:t>
            </w:r>
          </w:p>
        </w:tc>
      </w:tr>
      <w:tr w:rsidR="00331D2B">
        <w:trPr>
          <w:trHeight w:val="532"/>
        </w:trPr>
        <w:tc>
          <w:tcPr>
            <w:tcW w:w="28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o-NO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330,0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  <w:color w:val="000000"/>
              </w:rPr>
              <w:t>416,4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1.49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2.33</w:t>
            </w:r>
          </w:p>
        </w:tc>
      </w:tr>
      <w:tr w:rsidR="00331D2B">
        <w:trPr>
          <w:trHeight w:val="532"/>
        </w:trPr>
        <w:tc>
          <w:tcPr>
            <w:tcW w:w="28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Pr="00883D82" w:rsidRDefault="00331D2B">
            <w:pPr>
              <w:pStyle w:val="a8"/>
              <w:spacing w:line="240" w:lineRule="auto"/>
              <w:ind w:firstLine="0"/>
              <w:jc w:val="center"/>
              <w:rPr>
                <w:lang w:val="en-US"/>
              </w:rPr>
            </w:pPr>
            <w:r w:rsidRPr="00883D82">
              <w:rPr>
                <w:rFonts w:ascii="Times New Roman" w:hAnsi="Times New Roman"/>
                <w:lang w:val="en-US"/>
              </w:rPr>
              <w:t>p-CH</w:t>
            </w:r>
            <w:r w:rsidRPr="00883D82">
              <w:rPr>
                <w:rFonts w:ascii="Times New Roman" w:hAnsi="Times New Roman"/>
                <w:position w:val="-13"/>
                <w:lang w:val="en-US"/>
              </w:rPr>
              <w:t>3</w:t>
            </w:r>
            <w:r w:rsidRPr="00883D82">
              <w:rPr>
                <w:rFonts w:ascii="Times New Roman" w:hAnsi="Times New Roman"/>
                <w:lang w:val="en-US"/>
              </w:rPr>
              <w:t>O-Ph-N</w:t>
            </w:r>
            <w:r w:rsidRPr="00883D82">
              <w:rPr>
                <w:rFonts w:ascii="Times New Roman" w:hAnsi="Times New Roman"/>
                <w:position w:val="-13"/>
                <w:lang w:val="en-US"/>
              </w:rPr>
              <w:t>2</w:t>
            </w:r>
            <w:r w:rsidRPr="00883D82">
              <w:rPr>
                <w:rFonts w:ascii="Times New Roman" w:hAnsi="Times New Roman"/>
                <w:position w:val="16"/>
                <w:lang w:val="en-US"/>
              </w:rPr>
              <w:t>+</w:t>
            </w:r>
            <w:r w:rsidRPr="00883D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D82">
              <w:rPr>
                <w:rFonts w:ascii="Times New Roman" w:hAnsi="Times New Roman"/>
                <w:lang w:val="en-US"/>
              </w:rPr>
              <w:t>TfO</w:t>
            </w:r>
            <w:proofErr w:type="spellEnd"/>
            <w:r w:rsidRPr="00883D82">
              <w:rPr>
                <w:rFonts w:ascii="Times New Roman" w:hAnsi="Times New Roman"/>
                <w:position w:val="16"/>
                <w:lang w:val="en-US"/>
              </w:rPr>
              <w:t>-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183.1</w:t>
            </w:r>
          </w:p>
        </w:tc>
        <w:tc>
          <w:tcPr>
            <w:tcW w:w="10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 xml:space="preserve">183.2 </w:t>
            </w:r>
          </w:p>
        </w:tc>
        <w:tc>
          <w:tcPr>
            <w:tcW w:w="11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6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1.34</w:t>
            </w:r>
          </w:p>
        </w:tc>
        <w:tc>
          <w:tcPr>
            <w:tcW w:w="11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2.97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ascii="Times New Roman" w:hAnsi="Times New Roman"/>
              </w:rPr>
              <w:t>5.37</w:t>
            </w:r>
          </w:p>
        </w:tc>
      </w:tr>
    </w:tbl>
    <w:p w:rsidR="00331D2B" w:rsidRDefault="00331D2B"/>
    <w:p w:rsidR="00331D2B" w:rsidRDefault="00331D2B">
      <w:r>
        <w:t xml:space="preserve">Сравнивая время разложения </w:t>
      </w:r>
      <w:proofErr w:type="spellStart"/>
      <w:proofErr w:type="gramStart"/>
      <w:r w:rsidR="00546A21" w:rsidRPr="00546A21">
        <w:rPr>
          <w:highlight w:val="yellow"/>
        </w:rPr>
        <w:t>табл</w:t>
      </w:r>
      <w:proofErr w:type="spellEnd"/>
      <w:proofErr w:type="gramEnd"/>
      <w:r w:rsidR="00546A21" w:rsidRPr="00546A21">
        <w:rPr>
          <w:highlight w:val="yellow"/>
        </w:rPr>
        <w:t>??</w:t>
      </w:r>
      <w:r w:rsidR="00546A21" w:rsidRPr="00546A21">
        <w:t xml:space="preserve"> </w:t>
      </w:r>
      <w:r>
        <w:t xml:space="preserve">можно заметить, что </w:t>
      </w:r>
      <w:proofErr w:type="spellStart"/>
      <w:r>
        <w:t>тетрафторбораты</w:t>
      </w:r>
      <w:proofErr w:type="spellEnd"/>
      <w:r>
        <w:t xml:space="preserve"> разлагаются быстрее, чем </w:t>
      </w:r>
      <w:proofErr w:type="spellStart"/>
      <w:r>
        <w:t>тозилаты</w:t>
      </w:r>
      <w:proofErr w:type="spellEnd"/>
      <w:r>
        <w:t xml:space="preserve"> и </w:t>
      </w:r>
      <w:proofErr w:type="spellStart"/>
      <w:r>
        <w:t>трифлаты</w:t>
      </w:r>
      <w:proofErr w:type="spellEnd"/>
      <w:r>
        <w:t xml:space="preserve"> при всех трех температурах. На рисунке №2 приведены экспериментальные значения теплового потока при разложении солей. Время разложения </w:t>
      </w:r>
      <w:proofErr w:type="spellStart"/>
      <w:r>
        <w:t>трифлата</w:t>
      </w:r>
      <w:proofErr w:type="spellEnd"/>
      <w:r>
        <w:t xml:space="preserve"> 4-нитрофенилдиазония значительно меньше, чем </w:t>
      </w:r>
      <w:proofErr w:type="spellStart"/>
      <w:r>
        <w:t>метокси</w:t>
      </w:r>
      <w:proofErr w:type="spellEnd"/>
      <w:r>
        <w:t xml:space="preserve"> производного.</w:t>
      </w:r>
    </w:p>
    <w:p w:rsidR="00331D2B" w:rsidRDefault="00331D2B">
      <w:r>
        <w:t xml:space="preserve">Был проведен кинетический анализ кривых изотермического разложения и определены основные параметры аппроксимирующих уравнений. Наблюдаемые зависимости тепловых потоков лучше всего описываются с помощью кинетического уравнений для автокаталитических реакций: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> A </w:t>
      </w:r>
      <w:r>
        <w:rPr>
          <w:rFonts w:eastAsia="Liberation Serif" w:cs="Liberation Serif"/>
          <w:i/>
          <w:iCs/>
        </w:rPr>
        <w:t>→ </w:t>
      </w:r>
      <w:proofErr w:type="spellStart"/>
      <w:r>
        <w:rPr>
          <w:i/>
          <w:iCs/>
        </w:rPr>
        <w:t>c</w:t>
      </w:r>
      <w:proofErr w:type="spellEnd"/>
      <w:r>
        <w:rPr>
          <w:i/>
          <w:iCs/>
        </w:rPr>
        <w:t> C</w:t>
      </w:r>
    </w:p>
    <w:p w:rsidR="00331D2B" w:rsidRDefault="00294362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206750" cy="534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534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1D2B">
        <w:t xml:space="preserve"> </w:t>
      </w:r>
    </w:p>
    <w:p w:rsidR="00331D2B" w:rsidRDefault="00331D2B">
      <w:r>
        <w:t xml:space="preserve"> </w:t>
      </w:r>
    </w:p>
    <w:p w:rsidR="00331D2B" w:rsidRDefault="00331D2B">
      <w:pPr>
        <w:tabs>
          <w:tab w:val="center" w:pos="218"/>
        </w:tabs>
        <w:spacing w:after="113"/>
      </w:pPr>
      <w:r>
        <w:t xml:space="preserve">Кинетические параметры представлены в таблице №2. </w:t>
      </w:r>
    </w:p>
    <w:p w:rsidR="00331D2B" w:rsidRDefault="00331D2B">
      <w:pPr>
        <w:tabs>
          <w:tab w:val="center" w:pos="218"/>
        </w:tabs>
        <w:spacing w:after="113"/>
      </w:pPr>
      <w:r>
        <w:t xml:space="preserve">Исключением является  </w:t>
      </w:r>
      <w:proofErr w:type="spellStart"/>
      <w:r>
        <w:t>трифлат</w:t>
      </w:r>
      <w:proofErr w:type="spellEnd"/>
      <w:r>
        <w:t xml:space="preserve"> </w:t>
      </w:r>
      <w:proofErr w:type="spellStart"/>
      <w:r>
        <w:t>о-нитрофенилдиазония</w:t>
      </w:r>
      <w:proofErr w:type="spellEnd"/>
      <w:r>
        <w:t xml:space="preserve">, изотермическая кривая которого плохо описывается простым автокаталитическим процессом и имеет более сложный характер. </w:t>
      </w:r>
      <w:proofErr w:type="gramStart"/>
      <w:r>
        <w:t>Следовательно</w:t>
      </w:r>
      <w:proofErr w:type="gramEnd"/>
      <w:r>
        <w:t xml:space="preserve"> требуется процедура </w:t>
      </w:r>
      <w:proofErr w:type="spellStart"/>
      <w:r>
        <w:t>деконволюции</w:t>
      </w:r>
      <w:proofErr w:type="spellEnd"/>
      <w:r>
        <w:t xml:space="preserve"> и выделения первичных процессов. </w:t>
      </w:r>
      <w:proofErr w:type="spellStart"/>
      <w:r>
        <w:t>Деконволюцию</w:t>
      </w:r>
      <w:proofErr w:type="spellEnd"/>
      <w:r>
        <w:t xml:space="preserve"> проводили путем компьютерного моделирования комбинаций автокаталитических реакций с различными тепловыми эффектами и кинетическими параметрами. Полученная экспериментальная кривая теплового потока лучше всего описывается композицией двух процессов - небольшого по величине эндотермического процесса с теплотой </w:t>
      </w:r>
      <w:r>
        <w:rPr>
          <w:rFonts w:ascii="Symbol" w:hAnsi="Symbol" w:cs="Symbol"/>
          <w:sz w:val="20"/>
          <w:szCs w:val="20"/>
        </w:rPr>
        <w:t></w:t>
      </w:r>
      <w:r>
        <w:rPr>
          <w:rFonts w:ascii="Times New Roman" w:hAnsi="Times New Roman"/>
        </w:rPr>
        <w:t>H=20 кДж/моль</w:t>
      </w:r>
      <w:r>
        <w:t xml:space="preserve"> </w:t>
      </w:r>
      <w:proofErr w:type="spellStart"/>
      <w:r>
        <w:t>c</w:t>
      </w:r>
      <w:proofErr w:type="spellEnd"/>
      <w:r>
        <w:t xml:space="preserve"> кинетическими параметрами - k</w:t>
      </w:r>
      <w:r>
        <w:rPr>
          <w:vertAlign w:val="subscript"/>
        </w:rPr>
        <w:t>1</w:t>
      </w:r>
      <w:r>
        <w:t>=1.3, C</w:t>
      </w:r>
      <w:r>
        <w:rPr>
          <w:vertAlign w:val="subscript"/>
        </w:rPr>
        <w:t>01</w:t>
      </w:r>
      <w:r>
        <w:t xml:space="preserve">=0.0007 и </w:t>
      </w:r>
      <w:r>
        <w:lastRenderedPageBreak/>
        <w:t xml:space="preserve">основным экзотермическим автокаталитическим процессом с теплотой </w:t>
      </w:r>
      <w:r>
        <w:rPr>
          <w:rFonts w:ascii="Symbol" w:hAnsi="Symbol" w:cs="Symbol"/>
          <w:sz w:val="20"/>
          <w:szCs w:val="20"/>
        </w:rPr>
        <w:t></w:t>
      </w:r>
      <w:r>
        <w:rPr>
          <w:rFonts w:ascii="Times New Roman" w:hAnsi="Times New Roman"/>
        </w:rPr>
        <w:t>H=-430 кДж/моль</w:t>
      </w:r>
      <w:r>
        <w:t xml:space="preserve"> , k</w:t>
      </w:r>
      <w:r>
        <w:rPr>
          <w:vertAlign w:val="subscript"/>
        </w:rPr>
        <w:t>2</w:t>
      </w:r>
      <w:r>
        <w:t>=0,08, C</w:t>
      </w:r>
      <w:r>
        <w:rPr>
          <w:vertAlign w:val="subscript"/>
        </w:rPr>
        <w:t>02</w:t>
      </w:r>
      <w:r>
        <w:t>=0,0020 при 85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. На рисунке 3 приведены результаты </w:t>
      </w:r>
      <w:proofErr w:type="spellStart"/>
      <w:r>
        <w:t>деконволюции</w:t>
      </w:r>
      <w:proofErr w:type="spellEnd"/>
      <w:r>
        <w:t>.</w:t>
      </w:r>
    </w:p>
    <w:p w:rsidR="00331D2B" w:rsidRDefault="00294362">
      <w:pPr>
        <w:ind w:firstLine="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147955</wp:posOffset>
            </wp:positionV>
            <wp:extent cx="4645660" cy="3484245"/>
            <wp:effectExtent l="1905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3484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D2B" w:rsidRDefault="00331D2B">
      <w:pPr>
        <w:ind w:firstLine="0"/>
        <w:jc w:val="center"/>
      </w:pPr>
      <w:r>
        <w:t xml:space="preserve">Рисунок 2. Значения теплового потока изотермического разложения </w:t>
      </w:r>
      <w:r w:rsidR="00546A21" w:rsidRPr="00546A21">
        <w:rPr>
          <w:highlight w:val="yellow"/>
        </w:rPr>
        <w:t>солей</w:t>
      </w:r>
      <w:proofErr w:type="gramStart"/>
      <w:r w:rsidR="00546A21" w:rsidRPr="00546A21">
        <w:rPr>
          <w:highlight w:val="yellow"/>
        </w:rPr>
        <w:t xml:space="preserve"> ?</w:t>
      </w:r>
      <w:proofErr w:type="gramEnd"/>
      <w:r w:rsidR="00546A21" w:rsidRPr="00546A21">
        <w:rPr>
          <w:highlight w:val="yellow"/>
        </w:rPr>
        <w:t>?</w:t>
      </w:r>
      <w:r w:rsidR="00546A21">
        <w:t xml:space="preserve"> </w:t>
      </w:r>
      <w:r>
        <w:t>при температуре 85 </w:t>
      </w:r>
      <w:proofErr w:type="spellStart"/>
      <w:r>
        <w:rPr>
          <w:vertAlign w:val="superscript"/>
        </w:rPr>
        <w:t>о</w:t>
      </w:r>
      <w:r>
        <w:t>С</w:t>
      </w:r>
      <w:proofErr w:type="spellEnd"/>
    </w:p>
    <w:p w:rsidR="00331D2B" w:rsidRDefault="00294362">
      <w:pPr>
        <w:ind w:firstLine="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173355</wp:posOffset>
            </wp:positionV>
            <wp:extent cx="4893945" cy="3670935"/>
            <wp:effectExtent l="1905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67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D2B" w:rsidRDefault="00331D2B">
      <w:pPr>
        <w:ind w:firstLine="0"/>
        <w:jc w:val="center"/>
      </w:pPr>
      <w:r>
        <w:lastRenderedPageBreak/>
        <w:t xml:space="preserve">Рисунок 3. Экспериментальная кривая и результат </w:t>
      </w:r>
      <w:proofErr w:type="spellStart"/>
      <w:r>
        <w:t>деконволюции</w:t>
      </w:r>
      <w:proofErr w:type="spellEnd"/>
      <w:r>
        <w:t xml:space="preserve"> теплового потока изотермического разложения </w:t>
      </w:r>
      <w:proofErr w:type="spellStart"/>
      <w:r>
        <w:t>трифлата</w:t>
      </w:r>
      <w:proofErr w:type="spellEnd"/>
      <w:r>
        <w:t xml:space="preserve"> 2-нитрофенилдиазония </w:t>
      </w:r>
      <w:r w:rsidR="00546A21" w:rsidRPr="00546A21">
        <w:rPr>
          <w:highlight w:val="yellow"/>
        </w:rPr>
        <w:t>№№</w:t>
      </w:r>
      <w:r w:rsidR="00546A21">
        <w:t xml:space="preserve"> </w:t>
      </w:r>
      <w:r>
        <w:t>при температуре 85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 w:rsidR="00546A21">
        <w:t>,</w:t>
      </w:r>
      <w:r w:rsidR="00546A21" w:rsidRPr="00546A21">
        <w:t xml:space="preserve"> </w:t>
      </w:r>
      <w:r w:rsidR="00546A21" w:rsidRPr="00546A21">
        <w:rPr>
          <w:highlight w:val="yellow"/>
          <w:lang w:val="en-US"/>
        </w:rPr>
        <w:t>a</w:t>
      </w:r>
      <w:r w:rsidR="00546A21" w:rsidRPr="00546A21">
        <w:rPr>
          <w:highlight w:val="yellow"/>
        </w:rPr>
        <w:t xml:space="preserve">-?, </w:t>
      </w:r>
      <w:r w:rsidR="00546A21" w:rsidRPr="00546A21">
        <w:rPr>
          <w:highlight w:val="yellow"/>
          <w:lang w:val="en-US"/>
        </w:rPr>
        <w:t>b</w:t>
      </w:r>
      <w:r w:rsidR="00546A21" w:rsidRPr="00546A21">
        <w:rPr>
          <w:highlight w:val="yellow"/>
        </w:rPr>
        <w:t xml:space="preserve">-?, </w:t>
      </w:r>
      <w:r w:rsidR="00546A21" w:rsidRPr="00546A21">
        <w:rPr>
          <w:highlight w:val="yellow"/>
          <w:lang w:val="en-US"/>
        </w:rPr>
        <w:t>c</w:t>
      </w:r>
      <w:r w:rsidR="00546A21" w:rsidRPr="00546A21">
        <w:rPr>
          <w:highlight w:val="yellow"/>
        </w:rPr>
        <w:t xml:space="preserve"> -</w:t>
      </w:r>
      <w:proofErr w:type="gramStart"/>
      <w:r w:rsidR="00546A21" w:rsidRPr="00546A21">
        <w:rPr>
          <w:highlight w:val="yellow"/>
        </w:rPr>
        <w:t xml:space="preserve"> ?</w:t>
      </w:r>
      <w:proofErr w:type="gramEnd"/>
      <w:r w:rsidR="00546A21" w:rsidRPr="00546A21">
        <w:rPr>
          <w:highlight w:val="yellow"/>
        </w:rPr>
        <w:t xml:space="preserve">, </w:t>
      </w:r>
      <w:r w:rsidR="00546A21" w:rsidRPr="00546A21">
        <w:rPr>
          <w:highlight w:val="yellow"/>
          <w:lang w:val="en-US"/>
        </w:rPr>
        <w:t>d</w:t>
      </w:r>
      <w:r w:rsidR="00546A21" w:rsidRPr="00546A21">
        <w:rPr>
          <w:highlight w:val="yellow"/>
        </w:rPr>
        <w:t>-?</w:t>
      </w:r>
      <w:r w:rsidR="00546A21" w:rsidRPr="00546A21">
        <w:t xml:space="preserve"> </w:t>
      </w:r>
      <w:r w:rsidR="00546A21">
        <w:t xml:space="preserve"> </w:t>
      </w:r>
    </w:p>
    <w:p w:rsidR="00331D2B" w:rsidRDefault="00331D2B">
      <w:pPr>
        <w:jc w:val="center"/>
      </w:pPr>
    </w:p>
    <w:p w:rsidR="00331D2B" w:rsidRDefault="00331D2B">
      <w:pPr>
        <w:jc w:val="right"/>
      </w:pPr>
      <w:r>
        <w:t>Таблица 2.</w:t>
      </w:r>
    </w:p>
    <w:p w:rsidR="00331D2B" w:rsidRDefault="00331D2B">
      <w:pPr>
        <w:jc w:val="center"/>
      </w:pPr>
      <w:r>
        <w:t xml:space="preserve">Кинетические параметры реакций разложения </w:t>
      </w:r>
      <w:proofErr w:type="spellStart"/>
      <w:r>
        <w:t>диазониевых</w:t>
      </w:r>
      <w:proofErr w:type="spellEnd"/>
      <w:r>
        <w:t xml:space="preserve"> солей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80"/>
        <w:gridCol w:w="1122"/>
        <w:gridCol w:w="1192"/>
        <w:gridCol w:w="1122"/>
        <w:gridCol w:w="1153"/>
        <w:gridCol w:w="1234"/>
        <w:gridCol w:w="1235"/>
      </w:tblGrid>
      <w:tr w:rsidR="00331D2B">
        <w:trPr>
          <w:tblHeader/>
        </w:trPr>
        <w:tc>
          <w:tcPr>
            <w:tcW w:w="2580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9"/>
              <w:spacing w:line="240" w:lineRule="auto"/>
              <w:ind w:firstLine="0"/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Substance</w:t>
            </w:r>
            <w:proofErr w:type="spellEnd"/>
          </w:p>
        </w:tc>
        <w:tc>
          <w:tcPr>
            <w:tcW w:w="3436" w:type="dxa"/>
            <w:gridSpan w:val="3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P</w:t>
            </w:r>
            <w:r>
              <w:rPr>
                <w:position w:val="-13"/>
              </w:rPr>
              <w:t>0</w:t>
            </w:r>
            <w:r>
              <w:t xml:space="preserve">, </w:t>
            </w:r>
            <w:proofErr w:type="spellStart"/>
            <w:r>
              <w:t>mW</w:t>
            </w:r>
            <w:proofErr w:type="spellEnd"/>
          </w:p>
        </w:tc>
        <w:tc>
          <w:tcPr>
            <w:tcW w:w="3622" w:type="dxa"/>
            <w:gridSpan w:val="3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t>k</w:t>
            </w:r>
            <w:proofErr w:type="spellEnd"/>
            <w:r>
              <w:t xml:space="preserve">, </w:t>
            </w:r>
            <w:proofErr w:type="spellStart"/>
            <w:r>
              <w:t>g</w:t>
            </w:r>
            <w:proofErr w:type="spellEnd"/>
            <w:r>
              <w:t xml:space="preserve"> · mol</w:t>
            </w:r>
            <w:r>
              <w:rPr>
                <w:vertAlign w:val="superscript"/>
              </w:rPr>
              <w:t>-1</w:t>
            </w:r>
            <w:r>
              <w:t xml:space="preserve"> · с</w:t>
            </w:r>
            <w:r>
              <w:rPr>
                <w:vertAlign w:val="superscript"/>
              </w:rPr>
              <w:t>-1</w:t>
            </w:r>
            <w:r>
              <w:t> </w:t>
            </w:r>
          </w:p>
        </w:tc>
      </w:tr>
      <w:tr w:rsidR="00331D2B">
        <w:tc>
          <w:tcPr>
            <w:tcW w:w="2580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/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75</w:t>
            </w:r>
            <w:r>
              <w:rPr>
                <w:vertAlign w:val="superscript"/>
              </w:rPr>
              <w:t>o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80</w:t>
            </w:r>
            <w:r>
              <w:rPr>
                <w:vertAlign w:val="superscript"/>
              </w:rPr>
              <w:t>o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85</w:t>
            </w:r>
            <w:r>
              <w:rPr>
                <w:vertAlign w:val="superscript"/>
              </w:rPr>
              <w:t>o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75</w:t>
            </w:r>
            <w:r>
              <w:rPr>
                <w:vertAlign w:val="superscript"/>
              </w:rPr>
              <w:t>o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80</w:t>
            </w:r>
            <w:r>
              <w:rPr>
                <w:vertAlign w:val="superscript"/>
              </w:rPr>
              <w:t>o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85</w:t>
            </w:r>
            <w:r>
              <w:rPr>
                <w:vertAlign w:val="superscript"/>
              </w:rPr>
              <w:t>o</w:t>
            </w:r>
          </w:p>
        </w:tc>
      </w:tr>
      <w:tr w:rsidR="00331D2B">
        <w:trPr>
          <w:trHeight w:val="543"/>
        </w:trPr>
        <w:tc>
          <w:tcPr>
            <w:tcW w:w="25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BF</w:t>
            </w:r>
            <w:r>
              <w:rPr>
                <w:rFonts w:ascii="Times New Roman" w:hAnsi="Times New Roman"/>
                <w:position w:val="-13"/>
              </w:rPr>
              <w:t>4</w:t>
            </w:r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39.241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89.598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180.42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rPr>
                <w:rFonts w:cs="Liberation Serif"/>
              </w:rPr>
              <w:t>0.0186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0.0344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0.0721</w:t>
            </w:r>
          </w:p>
        </w:tc>
      </w:tr>
      <w:tr w:rsidR="00331D2B">
        <w:tc>
          <w:tcPr>
            <w:tcW w:w="25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TsO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1.957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2.745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4.152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0.0289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0.0539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0.1030</w:t>
            </w:r>
          </w:p>
        </w:tc>
      </w:tr>
      <w:tr w:rsidR="00331D2B">
        <w:tc>
          <w:tcPr>
            <w:tcW w:w="25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0.900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1.311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7.952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0.0316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0.0630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0.1680</w:t>
            </w:r>
          </w:p>
        </w:tc>
      </w:tr>
      <w:tr w:rsidR="00331D2B">
        <w:tc>
          <w:tcPr>
            <w:tcW w:w="25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m-NO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0.0094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1.10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4.42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0.00912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0.01958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0.0429</w:t>
            </w:r>
          </w:p>
        </w:tc>
      </w:tr>
      <w:tr w:rsidR="00331D2B">
        <w:tc>
          <w:tcPr>
            <w:tcW w:w="25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o-NO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5.59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14.7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0.0011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0.00076</w:t>
            </w:r>
          </w:p>
        </w:tc>
      </w:tr>
      <w:tr w:rsidR="00331D2B">
        <w:tc>
          <w:tcPr>
            <w:tcW w:w="25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Pr="00883D82" w:rsidRDefault="00331D2B">
            <w:pPr>
              <w:pStyle w:val="a8"/>
              <w:spacing w:line="240" w:lineRule="auto"/>
              <w:ind w:firstLine="0"/>
              <w:jc w:val="center"/>
              <w:rPr>
                <w:lang w:val="en-US"/>
              </w:rPr>
            </w:pPr>
            <w:r w:rsidRPr="00883D82">
              <w:rPr>
                <w:rFonts w:ascii="Times New Roman" w:hAnsi="Times New Roman"/>
                <w:lang w:val="en-US"/>
              </w:rPr>
              <w:t>p-CH</w:t>
            </w:r>
            <w:r w:rsidRPr="00883D82">
              <w:rPr>
                <w:rFonts w:ascii="Times New Roman" w:hAnsi="Times New Roman"/>
                <w:position w:val="-13"/>
                <w:lang w:val="en-US"/>
              </w:rPr>
              <w:t>3</w:t>
            </w:r>
            <w:r w:rsidRPr="00883D82">
              <w:rPr>
                <w:rFonts w:ascii="Times New Roman" w:hAnsi="Times New Roman"/>
                <w:lang w:val="en-US"/>
              </w:rPr>
              <w:t>O-Ph-N</w:t>
            </w:r>
            <w:r w:rsidRPr="00883D82">
              <w:rPr>
                <w:rFonts w:ascii="Times New Roman" w:hAnsi="Times New Roman"/>
                <w:position w:val="-13"/>
                <w:lang w:val="en-US"/>
              </w:rPr>
              <w:t>2</w:t>
            </w:r>
            <w:r w:rsidRPr="00883D82">
              <w:rPr>
                <w:rFonts w:ascii="Times New Roman" w:hAnsi="Times New Roman"/>
                <w:position w:val="16"/>
                <w:lang w:val="en-US"/>
              </w:rPr>
              <w:t>+</w:t>
            </w:r>
            <w:r w:rsidRPr="00883D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D82">
              <w:rPr>
                <w:rFonts w:ascii="Times New Roman" w:hAnsi="Times New Roman"/>
                <w:lang w:val="en-US"/>
              </w:rPr>
              <w:t>TfO</w:t>
            </w:r>
            <w:proofErr w:type="spellEnd"/>
            <w:r w:rsidRPr="00883D82">
              <w:rPr>
                <w:rFonts w:ascii="Times New Roman" w:hAnsi="Times New Roman"/>
                <w:position w:val="16"/>
                <w:lang w:val="en-US"/>
              </w:rPr>
              <w:t>-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1.477</w:t>
            </w:r>
          </w:p>
        </w:tc>
        <w:tc>
          <w:tcPr>
            <w:tcW w:w="119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3,200</w:t>
            </w: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11.379</w:t>
            </w:r>
          </w:p>
        </w:tc>
        <w:tc>
          <w:tcPr>
            <w:tcW w:w="115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0.0021</w:t>
            </w:r>
          </w:p>
        </w:tc>
        <w:tc>
          <w:tcPr>
            <w:tcW w:w="123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0.0044</w:t>
            </w:r>
          </w:p>
        </w:tc>
        <w:tc>
          <w:tcPr>
            <w:tcW w:w="123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spacing w:line="240" w:lineRule="auto"/>
              <w:ind w:firstLine="0"/>
              <w:jc w:val="center"/>
            </w:pPr>
            <w:r>
              <w:t>0.0128</w:t>
            </w:r>
          </w:p>
        </w:tc>
      </w:tr>
    </w:tbl>
    <w:p w:rsidR="00331D2B" w:rsidRDefault="00331D2B">
      <w:pPr>
        <w:tabs>
          <w:tab w:val="center" w:pos="218"/>
        </w:tabs>
        <w:spacing w:before="227" w:after="227"/>
      </w:pPr>
      <w:r>
        <w:t xml:space="preserve">Время разложения </w:t>
      </w:r>
      <w:proofErr w:type="spellStart"/>
      <w:r>
        <w:t>трифлата</w:t>
      </w:r>
      <w:proofErr w:type="spellEnd"/>
      <w:r>
        <w:t xml:space="preserve"> 4-нитрофенилдиазония значительно меньше, чем </w:t>
      </w:r>
      <w:proofErr w:type="spellStart"/>
      <w:r>
        <w:t>метокси</w:t>
      </w:r>
      <w:proofErr w:type="spellEnd"/>
      <w:r>
        <w:t xml:space="preserve"> производного. Кривые теплового потока при разложении представлены на рисунке 6. Как и ожидалось, вид заместителя оказывает существенное влияние на стабильность </w:t>
      </w:r>
      <w:proofErr w:type="spellStart"/>
      <w:r>
        <w:t>диазониевой</w:t>
      </w:r>
      <w:proofErr w:type="spellEnd"/>
      <w:r>
        <w:t xml:space="preserve"> соли.</w:t>
      </w:r>
    </w:p>
    <w:p w:rsidR="00331D2B" w:rsidRDefault="00294362">
      <w:pPr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-36195</wp:posOffset>
            </wp:positionV>
            <wp:extent cx="4648200" cy="3486785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1D2B">
        <w:t xml:space="preserve">Рисунок 4. Изотермическое разложение </w:t>
      </w:r>
      <w:proofErr w:type="spellStart"/>
      <w:r w:rsidR="00331D2B">
        <w:t>трифлатов</w:t>
      </w:r>
      <w:proofErr w:type="spellEnd"/>
      <w:r w:rsidR="00331D2B">
        <w:t xml:space="preserve"> 4-метоксифенилдиазония и </w:t>
      </w:r>
    </w:p>
    <w:p w:rsidR="00331D2B" w:rsidRDefault="00331D2B">
      <w:pPr>
        <w:jc w:val="center"/>
      </w:pPr>
      <w:r>
        <w:t>4-нитрофенилдиазония  при температуре 85 </w:t>
      </w:r>
      <w:proofErr w:type="spellStart"/>
      <w:r>
        <w:rPr>
          <w:vertAlign w:val="superscript"/>
        </w:rPr>
        <w:t>о</w:t>
      </w:r>
      <w:r>
        <w:t>С</w:t>
      </w:r>
      <w:proofErr w:type="spellEnd"/>
    </w:p>
    <w:p w:rsidR="00331D2B" w:rsidRDefault="00331D2B"/>
    <w:p w:rsidR="00331D2B" w:rsidRDefault="00331D2B">
      <w:r>
        <w:t xml:space="preserve">Существенное влияние на стабильность </w:t>
      </w:r>
      <w:proofErr w:type="spellStart"/>
      <w:r>
        <w:t>диазониевых</w:t>
      </w:r>
      <w:proofErr w:type="spellEnd"/>
      <w:r>
        <w:t xml:space="preserve"> солей оказывает </w:t>
      </w:r>
      <w:proofErr w:type="spellStart"/>
      <w:r>
        <w:t>положени</w:t>
      </w:r>
      <w:proofErr w:type="gramStart"/>
      <w:r>
        <w:t>e</w:t>
      </w:r>
      <w:proofErr w:type="spellEnd"/>
      <w:proofErr w:type="gramEnd"/>
      <w:r>
        <w:t xml:space="preserve"> заместителя в </w:t>
      </w:r>
      <w:proofErr w:type="spellStart"/>
      <w:r>
        <w:t>бензольном</w:t>
      </w:r>
      <w:proofErr w:type="spellEnd"/>
      <w:r>
        <w:t xml:space="preserve"> кольце. </w:t>
      </w:r>
      <w:r w:rsidRPr="00097AC4">
        <w:rPr>
          <w:highlight w:val="yellow"/>
        </w:rPr>
        <w:t xml:space="preserve">Для </w:t>
      </w:r>
      <w:proofErr w:type="spellStart"/>
      <w:r w:rsidRPr="00097AC4">
        <w:rPr>
          <w:highlight w:val="yellow"/>
        </w:rPr>
        <w:t>трифлатов</w:t>
      </w:r>
      <w:proofErr w:type="spellEnd"/>
      <w:r w:rsidRPr="00097AC4">
        <w:rPr>
          <w:highlight w:val="yellow"/>
        </w:rPr>
        <w:t xml:space="preserve"> </w:t>
      </w:r>
      <w:proofErr w:type="spellStart"/>
      <w:r w:rsidRPr="00097AC4">
        <w:rPr>
          <w:highlight w:val="yellow"/>
        </w:rPr>
        <w:t>нитрофенилдиазония</w:t>
      </w:r>
      <w:proofErr w:type="spellEnd"/>
      <w:r w:rsidRPr="00097AC4">
        <w:rPr>
          <w:highlight w:val="yellow"/>
        </w:rPr>
        <w:t xml:space="preserve"> наибольшей стабильностью обладает </w:t>
      </w:r>
      <w:proofErr w:type="spellStart"/>
      <w:r w:rsidRPr="00097AC4">
        <w:rPr>
          <w:highlight w:val="yellow"/>
        </w:rPr>
        <w:t>орт</w:t>
      </w:r>
      <w:proofErr w:type="gramStart"/>
      <w:r w:rsidRPr="00097AC4">
        <w:rPr>
          <w:highlight w:val="yellow"/>
        </w:rPr>
        <w:t>о</w:t>
      </w:r>
      <w:proofErr w:type="spellEnd"/>
      <w:r w:rsidRPr="00097AC4">
        <w:rPr>
          <w:highlight w:val="yellow"/>
        </w:rPr>
        <w:t>-</w:t>
      </w:r>
      <w:proofErr w:type="gramEnd"/>
      <w:r w:rsidRPr="00097AC4">
        <w:rPr>
          <w:highlight w:val="yellow"/>
        </w:rPr>
        <w:t xml:space="preserve"> производное, значительно менее стабильно мета-</w:t>
      </w:r>
      <w:r>
        <w:t xml:space="preserve"> и наименьшей стабильностью обладает </w:t>
      </w:r>
      <w:proofErr w:type="spellStart"/>
      <w:r>
        <w:t>трифлат</w:t>
      </w:r>
      <w:proofErr w:type="spellEnd"/>
      <w:r>
        <w:t xml:space="preserve"> </w:t>
      </w:r>
      <w:proofErr w:type="spellStart"/>
      <w:r>
        <w:t>пара-нитрофенилдиазония</w:t>
      </w:r>
      <w:proofErr w:type="spellEnd"/>
      <w:r>
        <w:t xml:space="preserve"> при всех трех температурах. </w:t>
      </w:r>
      <w:r w:rsidRPr="00546A21">
        <w:rPr>
          <w:highlight w:val="yellow"/>
        </w:rPr>
        <w:t>Однако</w:t>
      </w:r>
      <w:proofErr w:type="gramStart"/>
      <w:r w:rsidRPr="00546A21">
        <w:rPr>
          <w:highlight w:val="yellow"/>
        </w:rPr>
        <w:t>,</w:t>
      </w:r>
      <w:proofErr w:type="gramEnd"/>
      <w:r w:rsidRPr="00546A21">
        <w:rPr>
          <w:highlight w:val="yellow"/>
        </w:rPr>
        <w:t xml:space="preserve"> требуется более подробный анализ</w:t>
      </w:r>
      <w:r>
        <w:t xml:space="preserve"> с аппроксимацией на стандартные условия. Результаты представлены в таблице №2 и рисунке №5.</w:t>
      </w:r>
    </w:p>
    <w:p w:rsidR="00331D2B" w:rsidRDefault="00294362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224790</wp:posOffset>
            </wp:positionV>
            <wp:extent cx="5190490" cy="3893820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893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D2B" w:rsidRDefault="00331D2B">
      <w:pPr>
        <w:jc w:val="center"/>
      </w:pPr>
      <w:r>
        <w:t xml:space="preserve">Рисунок 5. Тепловой поток при изотермическом разложении </w:t>
      </w:r>
      <w:proofErr w:type="spellStart"/>
      <w:r>
        <w:t>трифлатов</w:t>
      </w:r>
      <w:proofErr w:type="spellEnd"/>
      <w:r>
        <w:t xml:space="preserve"> </w:t>
      </w:r>
    </w:p>
    <w:p w:rsidR="00331D2B" w:rsidRDefault="00331D2B">
      <w:pPr>
        <w:jc w:val="center"/>
      </w:pPr>
      <w:r>
        <w:t>2-, 3- и 4-нитрофенилдиазония при температуре 85 </w:t>
      </w:r>
      <w:proofErr w:type="spellStart"/>
      <w:r>
        <w:rPr>
          <w:vertAlign w:val="superscript"/>
        </w:rPr>
        <w:t>о</w:t>
      </w:r>
      <w:r>
        <w:t>С</w:t>
      </w:r>
      <w:proofErr w:type="spellEnd"/>
    </w:p>
    <w:p w:rsidR="00331D2B" w:rsidRDefault="00331D2B"/>
    <w:p w:rsidR="00331D2B" w:rsidRDefault="00331D2B">
      <w:r>
        <w:t xml:space="preserve">Анализируя кинетические данные при различной температуре и аппроксимируя с помощью уравнения </w:t>
      </w:r>
      <w:proofErr w:type="gramStart"/>
      <w:r>
        <w:t>Аррениуса</w:t>
      </w:r>
      <w:proofErr w:type="gramEnd"/>
      <w:r>
        <w:t xml:space="preserve"> рассчитали кинетические параметры реакций разложения на температуру 25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 xml:space="preserve">. Результаты анализа представлены графически на рисунке №6. Сравнивая показатели, можно сделать вывод, что </w:t>
      </w:r>
      <w:proofErr w:type="spellStart"/>
      <w:r>
        <w:t>трифлат</w:t>
      </w:r>
      <w:proofErr w:type="spellEnd"/>
      <w:r>
        <w:t xml:space="preserve"> 4-метоксифенилдиазония значительно стабильнее в хранении при </w:t>
      </w:r>
      <w:proofErr w:type="gramStart"/>
      <w:r>
        <w:t>стандартных</w:t>
      </w:r>
      <w:proofErr w:type="gramEnd"/>
      <w:r>
        <w:t xml:space="preserve"> условия, чем все нитро производные. Замена аниона также оказывает существенное влияние на сроки хранения. При различных положениях нитро группы в </w:t>
      </w:r>
      <w:proofErr w:type="spellStart"/>
      <w:r>
        <w:t>бензольном</w:t>
      </w:r>
      <w:proofErr w:type="spellEnd"/>
      <w:r>
        <w:t xml:space="preserve"> кольце наибольшей стабильностью обладает </w:t>
      </w:r>
      <w:proofErr w:type="spellStart"/>
      <w:r>
        <w:t>трифлат</w:t>
      </w:r>
      <w:proofErr w:type="spellEnd"/>
      <w:r>
        <w:t xml:space="preserve"> 3-нитрофенилдиазония, значительно меньшей стабильностью обладает пар</w:t>
      </w:r>
      <w:proofErr w:type="gramStart"/>
      <w:r>
        <w:t>а-</w:t>
      </w:r>
      <w:proofErr w:type="gramEnd"/>
      <w:r>
        <w:t xml:space="preserve"> производное и самой низкой </w:t>
      </w:r>
      <w:proofErr w:type="spellStart"/>
      <w:r>
        <w:t>орто-замещенная</w:t>
      </w:r>
      <w:proofErr w:type="spellEnd"/>
      <w:r>
        <w:t xml:space="preserve"> соль </w:t>
      </w:r>
      <w:proofErr w:type="spellStart"/>
      <w:r>
        <w:t>диазония</w:t>
      </w:r>
      <w:proofErr w:type="spellEnd"/>
      <w:r w:rsidR="00656272" w:rsidRPr="00656272">
        <w:t xml:space="preserve"> </w:t>
      </w:r>
      <w:r w:rsidR="00656272" w:rsidRPr="00656272">
        <w:rPr>
          <w:highlight w:val="red"/>
        </w:rPr>
        <w:t xml:space="preserve">ср. с </w:t>
      </w:r>
      <w:r w:rsidR="00427E9E">
        <w:rPr>
          <w:highlight w:val="red"/>
        </w:rPr>
        <w:t>табл. 2</w:t>
      </w:r>
      <w:r w:rsidR="00656272" w:rsidRPr="00656272">
        <w:rPr>
          <w:highlight w:val="red"/>
        </w:rPr>
        <w:t xml:space="preserve"> ?</w:t>
      </w:r>
      <w:r>
        <w:t xml:space="preserve">. Рассчитанные кинетические параметры   </w:t>
      </w:r>
      <w:proofErr w:type="spellStart"/>
      <w:r>
        <w:t>диазониевых</w:t>
      </w:r>
      <w:proofErr w:type="spellEnd"/>
      <w:r>
        <w:t xml:space="preserve"> солей в стандартных условиях представлены в таблице №3 и графически на рисунках 7-8. </w:t>
      </w:r>
    </w:p>
    <w:p w:rsidR="00331D2B" w:rsidRDefault="00331D2B">
      <w:pPr>
        <w:tabs>
          <w:tab w:val="left" w:pos="0"/>
        </w:tabs>
        <w:ind w:firstLine="0"/>
        <w:jc w:val="center"/>
      </w:pPr>
      <w:r>
        <w:t xml:space="preserve"> </w:t>
      </w:r>
    </w:p>
    <w:p w:rsidR="00331D2B" w:rsidRDefault="00294362">
      <w:pPr>
        <w:tabs>
          <w:tab w:val="left" w:pos="0"/>
        </w:tabs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242570</wp:posOffset>
            </wp:positionV>
            <wp:extent cx="5049520" cy="3787775"/>
            <wp:effectExtent l="1905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87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D2B" w:rsidRDefault="00331D2B">
      <w:pPr>
        <w:tabs>
          <w:tab w:val="left" w:pos="0"/>
        </w:tabs>
        <w:ind w:firstLine="0"/>
        <w:jc w:val="center"/>
      </w:pPr>
      <w:r>
        <w:t xml:space="preserve">Рисунок 6. </w:t>
      </w:r>
      <w:r w:rsidRPr="00656272">
        <w:rPr>
          <w:highlight w:val="yellow"/>
        </w:rPr>
        <w:t>Анализ Аррениуса</w:t>
      </w:r>
      <w:r>
        <w:t xml:space="preserve"> для реакций разложения некоторых </w:t>
      </w:r>
      <w:proofErr w:type="spellStart"/>
      <w:r>
        <w:t>диазониевых</w:t>
      </w:r>
      <w:proofErr w:type="spellEnd"/>
      <w:r>
        <w:t xml:space="preserve"> солей.</w:t>
      </w:r>
    </w:p>
    <w:p w:rsidR="00331D2B" w:rsidRDefault="00331D2B">
      <w:pPr>
        <w:tabs>
          <w:tab w:val="left" w:pos="0"/>
        </w:tabs>
        <w:ind w:firstLine="0"/>
        <w:jc w:val="center"/>
      </w:pPr>
    </w:p>
    <w:p w:rsidR="00331D2B" w:rsidRDefault="00331D2B">
      <w:pPr>
        <w:tabs>
          <w:tab w:val="left" w:pos="0"/>
        </w:tabs>
        <w:ind w:firstLine="0"/>
        <w:jc w:val="right"/>
      </w:pPr>
      <w:r>
        <w:t xml:space="preserve">Таблица №3. </w:t>
      </w:r>
    </w:p>
    <w:p w:rsidR="00331D2B" w:rsidRDefault="00331D2B">
      <w:pPr>
        <w:tabs>
          <w:tab w:val="left" w:pos="0"/>
        </w:tabs>
        <w:ind w:firstLine="0"/>
        <w:jc w:val="center"/>
      </w:pPr>
      <w:r>
        <w:t xml:space="preserve">Рассчитанные значения кинетических параметров реакций </w:t>
      </w:r>
    </w:p>
    <w:p w:rsidR="00331D2B" w:rsidRDefault="00331D2B">
      <w:pPr>
        <w:tabs>
          <w:tab w:val="left" w:pos="0"/>
        </w:tabs>
        <w:ind w:firstLine="0"/>
        <w:jc w:val="center"/>
      </w:pPr>
      <w:r>
        <w:t xml:space="preserve">разложения </w:t>
      </w:r>
      <w:proofErr w:type="spellStart"/>
      <w:r>
        <w:t>диазониевых</w:t>
      </w:r>
      <w:proofErr w:type="spellEnd"/>
      <w:r>
        <w:t xml:space="preserve"> солей при 25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26"/>
        <w:gridCol w:w="2333"/>
        <w:gridCol w:w="2289"/>
        <w:gridCol w:w="2290"/>
      </w:tblGrid>
      <w:tr w:rsidR="00331D2B">
        <w:trPr>
          <w:tblHeader/>
        </w:trPr>
        <w:tc>
          <w:tcPr>
            <w:tcW w:w="272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9"/>
              <w:ind w:firstLine="0"/>
            </w:pPr>
            <w:proofErr w:type="spellStart"/>
            <w:r>
              <w:rPr>
                <w:rFonts w:ascii="Times New Roman" w:hAnsi="Times New Roman"/>
                <w:b w:val="0"/>
                <w:bCs w:val="0"/>
              </w:rPr>
              <w:t>Substance</w:t>
            </w:r>
            <w:proofErr w:type="spellEnd"/>
          </w:p>
        </w:tc>
        <w:tc>
          <w:tcPr>
            <w:tcW w:w="233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r>
              <w:t>k</w:t>
            </w:r>
            <w:r>
              <w:rPr>
                <w:vertAlign w:val="subscript"/>
              </w:rPr>
              <w:t>298</w:t>
            </w:r>
            <w:r>
              <w:t xml:space="preserve">, </w:t>
            </w:r>
            <w:proofErr w:type="spellStart"/>
            <w:r>
              <w:t>g</w:t>
            </w:r>
            <w:proofErr w:type="spellEnd"/>
            <w:r>
              <w:t xml:space="preserve"> · mol</w:t>
            </w:r>
            <w:r>
              <w:rPr>
                <w:vertAlign w:val="superscript"/>
              </w:rPr>
              <w:t>-1</w:t>
            </w:r>
            <w:r>
              <w:t xml:space="preserve"> · с</w:t>
            </w:r>
            <w:r>
              <w:rPr>
                <w:vertAlign w:val="superscript"/>
              </w:rPr>
              <w:t>-1</w:t>
            </w:r>
            <w:r>
              <w:t> </w:t>
            </w:r>
          </w:p>
        </w:tc>
        <w:tc>
          <w:tcPr>
            <w:tcW w:w="22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proofErr w:type="spellStart"/>
            <w:r>
              <w:t>Ea</w:t>
            </w:r>
            <w:proofErr w:type="spellEnd"/>
            <w:r>
              <w:t xml:space="preserve">, </w:t>
            </w:r>
            <w:proofErr w:type="spellStart"/>
            <w:r>
              <w:t>kJ</w:t>
            </w:r>
            <w:proofErr w:type="spellEnd"/>
            <w:r>
              <w:t>/</w:t>
            </w:r>
            <w:proofErr w:type="spellStart"/>
            <w:r>
              <w:t>mol</w:t>
            </w:r>
            <w:proofErr w:type="spellEnd"/>
          </w:p>
        </w:tc>
        <w:tc>
          <w:tcPr>
            <w:tcW w:w="229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r>
              <w:t>C</w:t>
            </w:r>
            <w:r>
              <w:rPr>
                <w:vertAlign w:val="subscript"/>
              </w:rPr>
              <w:t>0</w:t>
            </w:r>
          </w:p>
        </w:tc>
      </w:tr>
      <w:tr w:rsidR="00331D2B">
        <w:trPr>
          <w:trHeight w:val="543"/>
        </w:trPr>
        <w:tc>
          <w:tcPr>
            <w:tcW w:w="27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BF</w:t>
            </w:r>
            <w:r>
              <w:rPr>
                <w:rFonts w:ascii="Times New Roman" w:hAnsi="Times New Roman"/>
                <w:position w:val="-13"/>
              </w:rPr>
              <w:t>4</w:t>
            </w:r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233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5.33*10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22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rPr>
                <w:rFonts w:cs="Liberation Serif"/>
              </w:rPr>
              <w:t>140.3</w:t>
            </w:r>
          </w:p>
        </w:tc>
        <w:tc>
          <w:tcPr>
            <w:tcW w:w="229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rPr>
                <w:rFonts w:cs="Liberation Serif"/>
              </w:rPr>
              <w:t>4.04*10</w:t>
            </w:r>
            <w:r>
              <w:rPr>
                <w:rFonts w:cs="Liberation Serif"/>
                <w:vertAlign w:val="superscript"/>
              </w:rPr>
              <w:t>-4</w:t>
            </w:r>
          </w:p>
        </w:tc>
      </w:tr>
      <w:tr w:rsidR="00331D2B">
        <w:tc>
          <w:tcPr>
            <w:tcW w:w="27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TsO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233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1.39*10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22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131.7</w:t>
            </w:r>
          </w:p>
        </w:tc>
        <w:tc>
          <w:tcPr>
            <w:tcW w:w="22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2.20*10</w:t>
            </w:r>
            <w:r>
              <w:rPr>
                <w:vertAlign w:val="superscript"/>
              </w:rPr>
              <w:t>-5</w:t>
            </w:r>
          </w:p>
        </w:tc>
      </w:tr>
      <w:tr w:rsidR="00331D2B">
        <w:tc>
          <w:tcPr>
            <w:tcW w:w="27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p-NO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233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1.33*10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22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173.0</w:t>
            </w:r>
          </w:p>
        </w:tc>
        <w:tc>
          <w:tcPr>
            <w:tcW w:w="22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5.02*10</w:t>
            </w:r>
            <w:r>
              <w:rPr>
                <w:vertAlign w:val="superscript"/>
              </w:rPr>
              <w:t>-6</w:t>
            </w:r>
          </w:p>
        </w:tc>
      </w:tr>
      <w:tr w:rsidR="00331D2B">
        <w:tc>
          <w:tcPr>
            <w:tcW w:w="27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m-NO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233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8.66*10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22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159.7</w:t>
            </w:r>
          </w:p>
        </w:tc>
        <w:tc>
          <w:tcPr>
            <w:tcW w:w="22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1.39*10</w:t>
            </w:r>
            <w:r>
              <w:rPr>
                <w:vertAlign w:val="superscript"/>
              </w:rPr>
              <w:t>-6</w:t>
            </w:r>
          </w:p>
        </w:tc>
      </w:tr>
      <w:tr w:rsidR="00331D2B">
        <w:tc>
          <w:tcPr>
            <w:tcW w:w="27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Default="00331D2B">
            <w:pPr>
              <w:pStyle w:val="a8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</w:rPr>
              <w:t>o-NO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Ph-N</w:t>
            </w:r>
            <w:proofErr w:type="spellEnd"/>
            <w:r>
              <w:rPr>
                <w:rFonts w:ascii="Times New Roman" w:hAnsi="Times New Roman"/>
                <w:position w:val="-13"/>
              </w:rPr>
              <w:t>2</w:t>
            </w:r>
            <w:r>
              <w:rPr>
                <w:rFonts w:ascii="Times New Roman" w:hAnsi="Times New Roman"/>
                <w:position w:val="16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TfO</w:t>
            </w:r>
            <w:proofErr w:type="spellEnd"/>
            <w:r>
              <w:rPr>
                <w:rFonts w:ascii="Times New Roman" w:hAnsi="Times New Roman"/>
                <w:position w:val="16"/>
              </w:rPr>
              <w:t>-</w:t>
            </w:r>
          </w:p>
        </w:tc>
        <w:tc>
          <w:tcPr>
            <w:tcW w:w="233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8.83*10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22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65,2</w:t>
            </w:r>
          </w:p>
        </w:tc>
        <w:tc>
          <w:tcPr>
            <w:tcW w:w="22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1.37*10</w:t>
            </w:r>
            <w:r>
              <w:rPr>
                <w:vertAlign w:val="superscript"/>
              </w:rPr>
              <w:t>-3</w:t>
            </w:r>
          </w:p>
        </w:tc>
      </w:tr>
      <w:tr w:rsidR="00331D2B">
        <w:tc>
          <w:tcPr>
            <w:tcW w:w="27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31D2B" w:rsidRPr="00883D82" w:rsidRDefault="00331D2B">
            <w:pPr>
              <w:pStyle w:val="a8"/>
              <w:ind w:firstLine="0"/>
              <w:jc w:val="center"/>
              <w:rPr>
                <w:lang w:val="en-US"/>
              </w:rPr>
            </w:pPr>
            <w:r w:rsidRPr="00883D82">
              <w:rPr>
                <w:rFonts w:ascii="Times New Roman" w:hAnsi="Times New Roman"/>
                <w:lang w:val="en-US"/>
              </w:rPr>
              <w:t>p-CH</w:t>
            </w:r>
            <w:r w:rsidRPr="00883D82">
              <w:rPr>
                <w:rFonts w:ascii="Times New Roman" w:hAnsi="Times New Roman"/>
                <w:position w:val="-13"/>
                <w:lang w:val="en-US"/>
              </w:rPr>
              <w:t>3</w:t>
            </w:r>
            <w:r w:rsidRPr="00883D82">
              <w:rPr>
                <w:rFonts w:ascii="Times New Roman" w:hAnsi="Times New Roman"/>
                <w:lang w:val="en-US"/>
              </w:rPr>
              <w:t>O-Ph-N</w:t>
            </w:r>
            <w:r w:rsidRPr="00883D82">
              <w:rPr>
                <w:rFonts w:ascii="Times New Roman" w:hAnsi="Times New Roman"/>
                <w:position w:val="-13"/>
                <w:lang w:val="en-US"/>
              </w:rPr>
              <w:t>2</w:t>
            </w:r>
            <w:r w:rsidRPr="00883D82">
              <w:rPr>
                <w:rFonts w:ascii="Times New Roman" w:hAnsi="Times New Roman"/>
                <w:position w:val="16"/>
                <w:lang w:val="en-US"/>
              </w:rPr>
              <w:t>+</w:t>
            </w:r>
            <w:r w:rsidRPr="00883D8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83D82">
              <w:rPr>
                <w:rFonts w:ascii="Times New Roman" w:hAnsi="Times New Roman"/>
                <w:lang w:val="en-US"/>
              </w:rPr>
              <w:t>TfO</w:t>
            </w:r>
            <w:proofErr w:type="spellEnd"/>
            <w:r w:rsidRPr="00883D82">
              <w:rPr>
                <w:rFonts w:ascii="Times New Roman" w:hAnsi="Times New Roman"/>
                <w:position w:val="16"/>
                <w:lang w:val="en-US"/>
              </w:rPr>
              <w:t>-</w:t>
            </w:r>
          </w:p>
        </w:tc>
        <w:tc>
          <w:tcPr>
            <w:tcW w:w="233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1.39*10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22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187.1</w:t>
            </w:r>
          </w:p>
        </w:tc>
        <w:tc>
          <w:tcPr>
            <w:tcW w:w="22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331D2B" w:rsidRDefault="00331D2B">
            <w:pPr>
              <w:pStyle w:val="a8"/>
              <w:ind w:firstLine="0"/>
              <w:jc w:val="center"/>
            </w:pPr>
            <w:r>
              <w:t>2.39*10</w:t>
            </w:r>
            <w:r>
              <w:rPr>
                <w:vertAlign w:val="superscript"/>
              </w:rPr>
              <w:t>-4</w:t>
            </w:r>
          </w:p>
        </w:tc>
      </w:tr>
    </w:tbl>
    <w:p w:rsidR="00331D2B" w:rsidRDefault="00331D2B"/>
    <w:p w:rsidR="00331D2B" w:rsidRDefault="00294362">
      <w:pPr>
        <w:tabs>
          <w:tab w:val="left" w:pos="0"/>
        </w:tabs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5715</wp:posOffset>
            </wp:positionV>
            <wp:extent cx="4952365" cy="3704590"/>
            <wp:effectExtent l="1905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704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1D2B">
        <w:t xml:space="preserve">Рисунок 7. Рассчитанные кинетические кривые разложения </w:t>
      </w:r>
      <w:proofErr w:type="spellStart"/>
      <w:r w:rsidR="00331D2B">
        <w:t>трифлатов</w:t>
      </w:r>
      <w:proofErr w:type="spellEnd"/>
      <w:r w:rsidR="00331D2B">
        <w:t xml:space="preserve"> </w:t>
      </w:r>
    </w:p>
    <w:p w:rsidR="00331D2B" w:rsidRDefault="00331D2B">
      <w:pPr>
        <w:tabs>
          <w:tab w:val="left" w:pos="0"/>
        </w:tabs>
        <w:ind w:firstLine="0"/>
        <w:jc w:val="center"/>
      </w:pPr>
      <w:r>
        <w:t>2-, 3- и 4-нитрофенилдиазония при 25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.</w:t>
      </w:r>
    </w:p>
    <w:p w:rsidR="00331D2B" w:rsidRDefault="00294362">
      <w:pPr>
        <w:tabs>
          <w:tab w:val="left" w:pos="0"/>
        </w:tabs>
        <w:ind w:firstLine="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168275</wp:posOffset>
            </wp:positionV>
            <wp:extent cx="5005070" cy="3764915"/>
            <wp:effectExtent l="1905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764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D2B" w:rsidRDefault="00331D2B">
      <w:pPr>
        <w:tabs>
          <w:tab w:val="left" w:pos="0"/>
        </w:tabs>
        <w:ind w:firstLine="0"/>
        <w:jc w:val="center"/>
      </w:pPr>
      <w:r>
        <w:t xml:space="preserve">Рисунок 8. Рассчитанные кинетические кривые разложения </w:t>
      </w:r>
      <w:proofErr w:type="spellStart"/>
      <w:r>
        <w:t>тозилата</w:t>
      </w:r>
      <w:proofErr w:type="spellEnd"/>
      <w:r>
        <w:t xml:space="preserve">, </w:t>
      </w:r>
    </w:p>
    <w:p w:rsidR="00331D2B" w:rsidRDefault="00331D2B">
      <w:pPr>
        <w:tabs>
          <w:tab w:val="left" w:pos="0"/>
        </w:tabs>
        <w:ind w:firstLine="0"/>
        <w:jc w:val="center"/>
      </w:pPr>
      <w:proofErr w:type="spellStart"/>
      <w:r>
        <w:t>трифлата</w:t>
      </w:r>
      <w:proofErr w:type="spellEnd"/>
      <w:r>
        <w:t xml:space="preserve"> и </w:t>
      </w:r>
      <w:proofErr w:type="spellStart"/>
      <w:r>
        <w:t>тетрафторбората</w:t>
      </w:r>
      <w:proofErr w:type="spellEnd"/>
      <w:r>
        <w:t xml:space="preserve"> 4-нитрофенилдиазония при 25 </w:t>
      </w:r>
      <w:proofErr w:type="spellStart"/>
      <w:r>
        <w:rPr>
          <w:vertAlign w:val="superscript"/>
        </w:rPr>
        <w:t>о</w:t>
      </w:r>
      <w:r>
        <w:t>С</w:t>
      </w:r>
      <w:proofErr w:type="spellEnd"/>
      <w:r>
        <w:t>.</w:t>
      </w:r>
    </w:p>
    <w:p w:rsidR="00331D2B" w:rsidRDefault="00331D2B">
      <w:pPr>
        <w:pStyle w:val="3"/>
      </w:pPr>
      <w:r>
        <w:lastRenderedPageBreak/>
        <w:t>Выводы</w:t>
      </w:r>
    </w:p>
    <w:p w:rsidR="00331D2B" w:rsidRDefault="00331D2B">
      <w:pPr>
        <w:tabs>
          <w:tab w:val="center" w:pos="218"/>
        </w:tabs>
      </w:pPr>
      <w:r>
        <w:t xml:space="preserve">В результате эксперимента тепловые потоки для всех изученных нами </w:t>
      </w:r>
      <w:proofErr w:type="spellStart"/>
      <w:r>
        <w:t>диазониевых</w:t>
      </w:r>
      <w:proofErr w:type="spellEnd"/>
      <w:r>
        <w:t xml:space="preserve"> солей значительно превышают разрешенные значения для STANAG процедуры и потенциально опасны в хранении. </w:t>
      </w:r>
    </w:p>
    <w:p w:rsidR="00331D2B" w:rsidRDefault="00331D2B">
      <w:pPr>
        <w:tabs>
          <w:tab w:val="center" w:pos="218"/>
        </w:tabs>
      </w:pPr>
      <w:r>
        <w:t xml:space="preserve">Проведенный анализ Аррениуса и аппроксимация кривых разложения на нормальные условия показала, что сравнение кинетики при более высоких температурах не всегда качественно описывает сравнительную стабильность при нормальных условиях, </w:t>
      </w:r>
      <w:proofErr w:type="gramStart"/>
      <w:r>
        <w:t>в следствии</w:t>
      </w:r>
      <w:proofErr w:type="gramEnd"/>
      <w:r>
        <w:t xml:space="preserve"> различия механизмов и энергий активации.</w:t>
      </w:r>
    </w:p>
    <w:p w:rsidR="00331D2B" w:rsidRDefault="00331D2B">
      <w:pPr>
        <w:tabs>
          <w:tab w:val="center" w:pos="218"/>
        </w:tabs>
      </w:pPr>
      <w:r>
        <w:t xml:space="preserve">Эксперимент показал, что природа заместителя и его  положение существенно влияют на кинетику разложения солей. Вероятно, это связано с электронным строением и стабильностью самого </w:t>
      </w:r>
      <w:proofErr w:type="spellStart"/>
      <w:r>
        <w:t>диазониевого</w:t>
      </w:r>
      <w:proofErr w:type="spellEnd"/>
      <w:r>
        <w:t xml:space="preserve"> катиона. В случае </w:t>
      </w:r>
      <w:proofErr w:type="spellStart"/>
      <w:r>
        <w:t>орто-нитрофенилдиазония</w:t>
      </w:r>
      <w:proofErr w:type="spellEnd"/>
      <w:r>
        <w:t xml:space="preserve">  имеют место более сложные процессы связанные, вероятно, с перегруппировкой или иными побочными процессами после выделения молекулярного азота. Этот факт подтверждается существенным отличием в энергии активации для </w:t>
      </w:r>
      <w:proofErr w:type="spellStart"/>
      <w:r>
        <w:t>трифлата</w:t>
      </w:r>
      <w:proofErr w:type="spellEnd"/>
      <w:r>
        <w:t xml:space="preserve"> 4-нитрофенилдиазония от других изученных </w:t>
      </w:r>
      <w:proofErr w:type="spellStart"/>
      <w:r>
        <w:t>диазониевых</w:t>
      </w:r>
      <w:proofErr w:type="spellEnd"/>
      <w:r>
        <w:t xml:space="preserve"> солей.</w:t>
      </w:r>
    </w:p>
    <w:p w:rsidR="00331D2B" w:rsidRDefault="00331D2B">
      <w:pPr>
        <w:tabs>
          <w:tab w:val="center" w:pos="218"/>
        </w:tabs>
      </w:pPr>
      <w:r>
        <w:t>В меньшей степени на стабильность солей влияет вид аниона. Однако</w:t>
      </w:r>
      <w:proofErr w:type="gramStart"/>
      <w:r>
        <w:t>,</w:t>
      </w:r>
      <w:proofErr w:type="gramEnd"/>
      <w:r>
        <w:t xml:space="preserve"> в случае </w:t>
      </w:r>
      <w:proofErr w:type="spellStart"/>
      <w:r>
        <w:t>трифлата</w:t>
      </w:r>
      <w:proofErr w:type="spellEnd"/>
      <w:r>
        <w:t xml:space="preserve"> 4-нитрофенилдиазония наблюдается значительное увеличение стабильности.   Предположительно, влияние аниона связано с изменением вероятности протекания различных механизмов при разложении солей. Очевидно, что для оценки стабильности солей </w:t>
      </w:r>
      <w:proofErr w:type="spellStart"/>
      <w:r>
        <w:t>диазония</w:t>
      </w:r>
      <w:proofErr w:type="spellEnd"/>
      <w:r>
        <w:t xml:space="preserve"> необходимо подробное изучение механизмов реакций протекающих при разложении.</w:t>
      </w:r>
    </w:p>
    <w:p w:rsidR="00331D2B" w:rsidRDefault="00331D2B">
      <w:pPr>
        <w:tabs>
          <w:tab w:val="center" w:pos="218"/>
        </w:tabs>
      </w:pPr>
    </w:p>
    <w:p w:rsidR="00331D2B" w:rsidRDefault="00331D2B">
      <w:pPr>
        <w:pStyle w:val="3"/>
      </w:pPr>
      <w:r>
        <w:t>Список литературы</w:t>
      </w:r>
    </w:p>
    <w:p w:rsidR="00331D2B" w:rsidRPr="00883D82" w:rsidRDefault="00331D2B">
      <w:pPr>
        <w:numPr>
          <w:ilvl w:val="0"/>
          <w:numId w:val="2"/>
        </w:numPr>
        <w:tabs>
          <w:tab w:val="left" w:pos="-55"/>
        </w:tabs>
        <w:spacing w:after="113"/>
        <w:ind w:left="510" w:hanging="397"/>
        <w:rPr>
          <w:lang w:val="en-US"/>
        </w:rPr>
      </w:pPr>
      <w:r w:rsidRPr="00883D82">
        <w:rPr>
          <w:lang w:val="en-US"/>
        </w:rPr>
        <w:t xml:space="preserve">R. </w:t>
      </w:r>
      <w:proofErr w:type="spellStart"/>
      <w:r w:rsidRPr="00883D82">
        <w:rPr>
          <w:lang w:val="en-US"/>
        </w:rPr>
        <w:t>Ullrich</w:t>
      </w:r>
      <w:proofErr w:type="spellEnd"/>
      <w:r w:rsidRPr="00883D82">
        <w:rPr>
          <w:lang w:val="en-US"/>
        </w:rPr>
        <w:t xml:space="preserve">, Th. </w:t>
      </w:r>
      <w:proofErr w:type="spellStart"/>
      <w:r w:rsidRPr="00883D82">
        <w:rPr>
          <w:lang w:val="en-US"/>
        </w:rPr>
        <w:t>Grewer</w:t>
      </w:r>
      <w:proofErr w:type="spellEnd"/>
      <w:r w:rsidRPr="00883D82">
        <w:rPr>
          <w:lang w:val="en-US"/>
        </w:rPr>
        <w:t xml:space="preserve">, "Decomposition of aromatic </w:t>
      </w:r>
      <w:proofErr w:type="spellStart"/>
      <w:r w:rsidRPr="00883D82">
        <w:rPr>
          <w:lang w:val="en-US"/>
        </w:rPr>
        <w:t>diazonium</w:t>
      </w:r>
      <w:proofErr w:type="spellEnd"/>
      <w:r w:rsidRPr="00883D82">
        <w:rPr>
          <w:lang w:val="en-US"/>
        </w:rPr>
        <w:t xml:space="preserve"> compounds", </w:t>
      </w:r>
      <w:proofErr w:type="spellStart"/>
      <w:r w:rsidRPr="00883D82">
        <w:rPr>
          <w:lang w:val="en-US"/>
        </w:rPr>
        <w:t>Thermochimica</w:t>
      </w:r>
      <w:proofErr w:type="spellEnd"/>
      <w:r w:rsidRPr="00883D82">
        <w:rPr>
          <w:lang w:val="en-US"/>
        </w:rPr>
        <w:t xml:space="preserve"> </w:t>
      </w:r>
      <w:proofErr w:type="spellStart"/>
      <w:r w:rsidRPr="00883D82">
        <w:rPr>
          <w:lang w:val="en-US"/>
        </w:rPr>
        <w:t>Acta</w:t>
      </w:r>
      <w:proofErr w:type="spellEnd"/>
      <w:r w:rsidRPr="00883D82">
        <w:rPr>
          <w:lang w:val="en-US"/>
        </w:rPr>
        <w:t>, 225 (1993) 201-211</w:t>
      </w:r>
    </w:p>
    <w:p w:rsidR="00331D2B" w:rsidRPr="00883D82" w:rsidRDefault="00331D2B">
      <w:pPr>
        <w:numPr>
          <w:ilvl w:val="0"/>
          <w:numId w:val="2"/>
        </w:numPr>
        <w:tabs>
          <w:tab w:val="left" w:pos="-55"/>
        </w:tabs>
        <w:spacing w:after="113"/>
        <w:ind w:left="510" w:hanging="397"/>
        <w:rPr>
          <w:lang w:val="en-US"/>
        </w:rPr>
      </w:pPr>
      <w:proofErr w:type="spellStart"/>
      <w:r w:rsidRPr="00883D82">
        <w:rPr>
          <w:lang w:val="en-US"/>
        </w:rPr>
        <w:t>Jinyu</w:t>
      </w:r>
      <w:proofErr w:type="spellEnd"/>
      <w:r w:rsidRPr="00883D82">
        <w:rPr>
          <w:lang w:val="en-US"/>
        </w:rPr>
        <w:t xml:space="preserve"> Chen, Chao Zhao, </w:t>
      </w:r>
      <w:proofErr w:type="spellStart"/>
      <w:r w:rsidRPr="00883D82">
        <w:rPr>
          <w:lang w:val="en-US"/>
        </w:rPr>
        <w:t>Renxiang</w:t>
      </w:r>
      <w:proofErr w:type="spellEnd"/>
      <w:r w:rsidRPr="00883D82">
        <w:rPr>
          <w:lang w:val="en-US"/>
        </w:rPr>
        <w:t xml:space="preserve"> Wang, </w:t>
      </w:r>
      <w:proofErr w:type="spellStart"/>
      <w:r w:rsidRPr="00883D82">
        <w:rPr>
          <w:lang w:val="en-US"/>
        </w:rPr>
        <w:t>Shuguang</w:t>
      </w:r>
      <w:proofErr w:type="spellEnd"/>
      <w:r w:rsidRPr="00883D82">
        <w:rPr>
          <w:lang w:val="en-US"/>
        </w:rPr>
        <w:t xml:space="preserve"> Cao, </w:t>
      </w:r>
      <w:proofErr w:type="spellStart"/>
      <w:r w:rsidRPr="00883D82">
        <w:rPr>
          <w:lang w:val="en-US"/>
        </w:rPr>
        <w:t>Weixiao</w:t>
      </w:r>
      <w:proofErr w:type="spellEnd"/>
      <w:r w:rsidRPr="00883D82">
        <w:rPr>
          <w:lang w:val="en-US"/>
        </w:rPr>
        <w:t xml:space="preserve"> Cao, "Photochemical and thermal decomposition of diphenylamine </w:t>
      </w:r>
      <w:proofErr w:type="spellStart"/>
      <w:r w:rsidRPr="00883D82">
        <w:rPr>
          <w:lang w:val="en-US"/>
        </w:rPr>
        <w:t>diazonium</w:t>
      </w:r>
      <w:proofErr w:type="spellEnd"/>
      <w:r w:rsidRPr="00883D82">
        <w:rPr>
          <w:lang w:val="en-US"/>
        </w:rPr>
        <w:t xml:space="preserve"> salts", Journal of Photochemistry and Photobiology A: Chemistry 125 (1999) 73-78</w:t>
      </w:r>
    </w:p>
    <w:p w:rsidR="00331D2B" w:rsidRDefault="00331D2B">
      <w:pPr>
        <w:numPr>
          <w:ilvl w:val="0"/>
          <w:numId w:val="2"/>
        </w:numPr>
        <w:tabs>
          <w:tab w:val="left" w:pos="-55"/>
        </w:tabs>
        <w:spacing w:after="113"/>
        <w:ind w:left="510" w:hanging="397"/>
      </w:pPr>
      <w:r w:rsidRPr="00883D82">
        <w:rPr>
          <w:lang w:val="en-US"/>
        </w:rPr>
        <w:t xml:space="preserve">U. </w:t>
      </w:r>
      <w:proofErr w:type="spellStart"/>
      <w:r w:rsidRPr="00883D82">
        <w:rPr>
          <w:lang w:val="en-US"/>
        </w:rPr>
        <w:t>Ticmanis</w:t>
      </w:r>
      <w:proofErr w:type="spellEnd"/>
      <w:r w:rsidRPr="00883D82">
        <w:rPr>
          <w:lang w:val="en-US"/>
        </w:rPr>
        <w:t xml:space="preserve">, S. </w:t>
      </w:r>
      <w:proofErr w:type="spellStart"/>
      <w:r w:rsidRPr="00883D82">
        <w:rPr>
          <w:lang w:val="en-US"/>
        </w:rPr>
        <w:t>Wilker</w:t>
      </w:r>
      <w:proofErr w:type="spellEnd"/>
      <w:r w:rsidRPr="00883D82">
        <w:rPr>
          <w:lang w:val="en-US"/>
        </w:rPr>
        <w:t xml:space="preserve">, G. </w:t>
      </w:r>
      <w:proofErr w:type="spellStart"/>
      <w:r w:rsidRPr="00883D82">
        <w:rPr>
          <w:lang w:val="en-US"/>
        </w:rPr>
        <w:t>Pantel</w:t>
      </w:r>
      <w:proofErr w:type="spellEnd"/>
      <w:r w:rsidRPr="00883D82">
        <w:rPr>
          <w:lang w:val="en-US"/>
        </w:rPr>
        <w:t xml:space="preserve">, P. Guillaume, C. </w:t>
      </w:r>
      <w:proofErr w:type="spellStart"/>
      <w:r w:rsidRPr="00883D82">
        <w:rPr>
          <w:lang w:val="en-US"/>
        </w:rPr>
        <w:t>Balès</w:t>
      </w:r>
      <w:proofErr w:type="spellEnd"/>
      <w:r w:rsidRPr="00883D82">
        <w:rPr>
          <w:lang w:val="en-US"/>
        </w:rPr>
        <w:t xml:space="preserve">, N. van </w:t>
      </w:r>
      <w:proofErr w:type="spellStart"/>
      <w:r w:rsidRPr="00883D82">
        <w:rPr>
          <w:lang w:val="en-US"/>
        </w:rPr>
        <w:t>der</w:t>
      </w:r>
      <w:proofErr w:type="spellEnd"/>
      <w:r w:rsidRPr="00883D82">
        <w:rPr>
          <w:lang w:val="en-US"/>
        </w:rPr>
        <w:t xml:space="preserve"> Meer. Principles of a STANAG for the estimation of the chemical stability of propellants by Heat Flow </w:t>
      </w:r>
      <w:proofErr w:type="spellStart"/>
      <w:r w:rsidRPr="00883D82">
        <w:rPr>
          <w:lang w:val="en-US"/>
        </w:rPr>
        <w:t>Calorimetry</w:t>
      </w:r>
      <w:proofErr w:type="spellEnd"/>
      <w:r w:rsidRPr="00883D82">
        <w:rPr>
          <w:lang w:val="en-US"/>
        </w:rPr>
        <w:t xml:space="preserve">", Proc.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Annu</w:t>
      </w:r>
      <w:proofErr w:type="spellEnd"/>
      <w:r>
        <w:t xml:space="preserve">. </w:t>
      </w:r>
      <w:proofErr w:type="spellStart"/>
      <w:r>
        <w:t>Conf</w:t>
      </w:r>
      <w:proofErr w:type="spellEnd"/>
      <w:r>
        <w:t xml:space="preserve">. ICT 31, 2 (2000). </w:t>
      </w:r>
    </w:p>
    <w:p w:rsidR="00331D2B" w:rsidRDefault="00331D2B">
      <w:pPr>
        <w:numPr>
          <w:ilvl w:val="0"/>
          <w:numId w:val="2"/>
        </w:numPr>
        <w:tabs>
          <w:tab w:val="left" w:pos="-55"/>
        </w:tabs>
        <w:spacing w:after="113"/>
        <w:ind w:left="510" w:hanging="397"/>
      </w:pPr>
      <w:r w:rsidRPr="00883D82">
        <w:rPr>
          <w:lang w:val="en-US"/>
        </w:rPr>
        <w:t xml:space="preserve">P. Guillaume, M. Rat, S. </w:t>
      </w:r>
      <w:proofErr w:type="spellStart"/>
      <w:r w:rsidRPr="00883D82">
        <w:rPr>
          <w:lang w:val="en-US"/>
        </w:rPr>
        <w:t>Wilker</w:t>
      </w:r>
      <w:proofErr w:type="spellEnd"/>
      <w:r w:rsidRPr="00883D82">
        <w:rPr>
          <w:lang w:val="en-US"/>
        </w:rPr>
        <w:t xml:space="preserve">, G. </w:t>
      </w:r>
      <w:proofErr w:type="spellStart"/>
      <w:r w:rsidRPr="00883D82">
        <w:rPr>
          <w:lang w:val="en-US"/>
        </w:rPr>
        <w:t>Pantel</w:t>
      </w:r>
      <w:proofErr w:type="spellEnd"/>
      <w:r w:rsidRPr="00883D82">
        <w:rPr>
          <w:lang w:val="en-US"/>
        </w:rPr>
        <w:t>, "</w:t>
      </w:r>
      <w:proofErr w:type="spellStart"/>
      <w:r w:rsidRPr="00883D82">
        <w:rPr>
          <w:lang w:val="en-US"/>
        </w:rPr>
        <w:t>Microcalorimetric</w:t>
      </w:r>
      <w:proofErr w:type="spellEnd"/>
      <w:r w:rsidRPr="00883D82">
        <w:rPr>
          <w:lang w:val="en-US"/>
        </w:rPr>
        <w:t xml:space="preserve"> and Chemical Studies of Propellants", Proc.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Annu</w:t>
      </w:r>
      <w:proofErr w:type="spellEnd"/>
      <w:r>
        <w:t xml:space="preserve">. </w:t>
      </w:r>
      <w:proofErr w:type="spellStart"/>
      <w:r>
        <w:t>Conf</w:t>
      </w:r>
      <w:proofErr w:type="spellEnd"/>
      <w:r>
        <w:t>. ICT 29, 133 (1998).</w:t>
      </w:r>
    </w:p>
    <w:p w:rsidR="00331D2B" w:rsidRDefault="00331D2B">
      <w:pPr>
        <w:tabs>
          <w:tab w:val="center" w:pos="218"/>
        </w:tabs>
        <w:spacing w:before="227" w:after="227"/>
        <w:ind w:left="1230" w:right="624" w:firstLine="0"/>
      </w:pPr>
    </w:p>
    <w:sectPr w:rsidR="00331D2B" w:rsidSect="00BE3E29">
      <w:footerReference w:type="default" r:id="rId16"/>
      <w:footerReference w:type="first" r:id="rId17"/>
      <w:pgSz w:w="11906" w:h="16838"/>
      <w:pgMar w:top="850" w:right="1134" w:bottom="1409" w:left="1134" w:header="720" w:footer="850" w:gutter="0"/>
      <w:cols w:space="72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C0C" w:rsidRDefault="00775C0C">
      <w:pPr>
        <w:spacing w:line="240" w:lineRule="auto"/>
      </w:pPr>
      <w:r>
        <w:separator/>
      </w:r>
    </w:p>
  </w:endnote>
  <w:endnote w:type="continuationSeparator" w:id="0">
    <w:p w:rsidR="00775C0C" w:rsidRDefault="00775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2B" w:rsidRDefault="00BE3E29">
    <w:pPr>
      <w:pStyle w:val="aa"/>
      <w:jc w:val="center"/>
    </w:pPr>
    <w:fldSimple w:instr=" PAGE ">
      <w:r w:rsidR="00EB7454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2B" w:rsidRDefault="00331D2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C0C" w:rsidRDefault="00775C0C">
      <w:pPr>
        <w:spacing w:line="240" w:lineRule="auto"/>
      </w:pPr>
      <w:r>
        <w:separator/>
      </w:r>
    </w:p>
  </w:footnote>
  <w:footnote w:type="continuationSeparator" w:id="0">
    <w:p w:rsidR="00775C0C" w:rsidRDefault="00775C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3544E"/>
    <w:rsid w:val="00097AC4"/>
    <w:rsid w:val="00294362"/>
    <w:rsid w:val="00331D2B"/>
    <w:rsid w:val="00427E9E"/>
    <w:rsid w:val="00546A21"/>
    <w:rsid w:val="00656272"/>
    <w:rsid w:val="00775C0C"/>
    <w:rsid w:val="00883D82"/>
    <w:rsid w:val="00B3544E"/>
    <w:rsid w:val="00BE3E29"/>
    <w:rsid w:val="00C1757B"/>
    <w:rsid w:val="00CE4E19"/>
    <w:rsid w:val="00EB7454"/>
    <w:rsid w:val="00F40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E29"/>
    <w:pPr>
      <w:suppressAutoHyphens/>
      <w:spacing w:line="312" w:lineRule="auto"/>
      <w:ind w:firstLine="567"/>
      <w:jc w:val="both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rsid w:val="00BE3E29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rsid w:val="00BE3E29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rsid w:val="00BE3E29"/>
    <w:pPr>
      <w:numPr>
        <w:ilvl w:val="2"/>
        <w:numId w:val="1"/>
      </w:numPr>
      <w:spacing w:before="142" w:after="0"/>
      <w:ind w:left="0" w:firstLine="567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rsid w:val="00BE3E29"/>
  </w:style>
  <w:style w:type="paragraph" w:customStyle="1" w:styleId="a0">
    <w:name w:val="Заголовок"/>
    <w:basedOn w:val="a"/>
    <w:next w:val="a1"/>
    <w:rsid w:val="00BE3E2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rsid w:val="00BE3E29"/>
    <w:pPr>
      <w:spacing w:after="140" w:line="288" w:lineRule="auto"/>
    </w:pPr>
  </w:style>
  <w:style w:type="paragraph" w:styleId="a6">
    <w:name w:val="List"/>
    <w:basedOn w:val="a1"/>
    <w:rsid w:val="00BE3E29"/>
  </w:style>
  <w:style w:type="paragraph" w:styleId="a7">
    <w:name w:val="caption"/>
    <w:basedOn w:val="a"/>
    <w:qFormat/>
    <w:rsid w:val="00BE3E29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BE3E29"/>
    <w:pPr>
      <w:suppressLineNumbers/>
    </w:pPr>
  </w:style>
  <w:style w:type="paragraph" w:customStyle="1" w:styleId="a8">
    <w:name w:val="Содержимое таблицы"/>
    <w:basedOn w:val="a"/>
    <w:rsid w:val="00BE3E29"/>
    <w:pPr>
      <w:suppressLineNumbers/>
    </w:pPr>
  </w:style>
  <w:style w:type="paragraph" w:customStyle="1" w:styleId="a9">
    <w:name w:val="Заголовок таблицы"/>
    <w:basedOn w:val="a8"/>
    <w:rsid w:val="00BE3E29"/>
    <w:pPr>
      <w:jc w:val="center"/>
    </w:pPr>
    <w:rPr>
      <w:b/>
      <w:bCs/>
    </w:rPr>
  </w:style>
  <w:style w:type="paragraph" w:styleId="aa">
    <w:name w:val="footer"/>
    <w:basedOn w:val="a"/>
    <w:rsid w:val="00BE3E29"/>
    <w:pPr>
      <w:suppressLineNumbers/>
      <w:tabs>
        <w:tab w:val="center" w:pos="4819"/>
        <w:tab w:val="right" w:pos="9638"/>
      </w:tabs>
    </w:pPr>
  </w:style>
  <w:style w:type="paragraph" w:styleId="ab">
    <w:name w:val="Balloon Text"/>
    <w:basedOn w:val="a"/>
    <w:link w:val="ac"/>
    <w:uiPriority w:val="99"/>
    <w:semiHidden/>
    <w:unhideWhenUsed/>
    <w:rsid w:val="00546A2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2"/>
    <w:link w:val="ab"/>
    <w:uiPriority w:val="99"/>
    <w:semiHidden/>
    <w:rsid w:val="00546A21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cp:lastPrinted>1601-01-01T00:00:00Z</cp:lastPrinted>
  <dcterms:created xsi:type="dcterms:W3CDTF">2017-01-29T15:22:00Z</dcterms:created>
  <dcterms:modified xsi:type="dcterms:W3CDTF">2017-01-31T15:25:00Z</dcterms:modified>
</cp:coreProperties>
</file>