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20.wmf" ContentType="image/x-wmf"/>
  <Override PartName="/word/media/image19.wmf" ContentType="image/x-wmf"/>
  <Override PartName="/word/media/image18.png" ContentType="image/png"/>
  <Override PartName="/word/media/image17.png" ContentType="image/png"/>
  <Override PartName="/word/media/image16.wmf" ContentType="image/x-wmf"/>
  <Override PartName="/word/media/image15.wmf" ContentType="image/x-wmf"/>
  <Override PartName="/word/media/image14.wmf" ContentType="image/x-wmf"/>
  <Override PartName="/word/media/image13.wmf" ContentType="image/x-wmf"/>
  <Override PartName="/word/media/image12.wmf" ContentType="image/x-wmf"/>
  <Override PartName="/word/media/image11.png" ContentType="image/png"/>
  <Override PartName="/word/media/image4.png" ContentType="image/png"/>
  <Override PartName="/word/media/image3.png" ContentType="image/png"/>
  <Override PartName="/word/media/image2.png" ContentType="image/png"/>
  <Override PartName="/word/media/image1.png" ContentType="image/png"/>
  <Override PartName="/word/media/image5.png" ContentType="image/png"/>
  <Override PartName="/word/media/image6.png" ContentType="image/png"/>
  <Override PartName="/word/media/image7.wmf" ContentType="image/x-wmf"/>
  <Override PartName="/word/media/image8.wmf" ContentType="image/x-wmf"/>
  <Override PartName="/word/media/image10.wmf" ContentType="image/x-wmf"/>
  <Override PartName="/word/media/image9.wmf" ContentType="image/x-wmf"/>
  <Override PartName="/word/numbering.xml" ContentType="application/vnd.openxmlformats-officedocument.wordprocessingml.numbering+xml"/>
  <Override PartName="/word/document.xml" ContentType="application/vnd.openxmlformats-officedocument.wordprocessingml.document.main+xml"/>
  <Override PartName="/word/footer1.xml" ContentType="application/vnd.openxmlformats-officedocument.wordprocessingml.footer+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ESupportingInformation"/>
        <w:bidi w:val="0"/>
        <w:spacing w:before="0" w:after="57"/>
        <w:jc w:val="center"/>
        <w:rPr/>
      </w:pPr>
      <w:r>
        <w:rPr>
          <w:b/>
          <w:bCs/>
        </w:rPr>
        <w:t>Supporting Information For</w:t>
      </w:r>
    </w:p>
    <w:p>
      <w:pPr>
        <w:pStyle w:val="BATitle"/>
        <w:bidi w:val="0"/>
        <w:spacing w:before="340" w:after="363"/>
        <w:jc w:val="left"/>
        <w:rPr>
          <w:sz w:val="28"/>
          <w:szCs w:val="28"/>
        </w:rPr>
      </w:pPr>
      <w:r>
        <w:rPr>
          <w:b/>
          <w:bCs/>
          <w:sz w:val="28"/>
          <w:szCs w:val="28"/>
        </w:rPr>
        <w:t>The first study of the thermal and storage stability of arenediazonium triflates comparing to 4-nitrobenzenediazonium tosylate and tetrafluoroborate by calorimetric methods</w:t>
      </w:r>
    </w:p>
    <w:p>
      <w:pPr>
        <w:pStyle w:val="BBAuthorName"/>
        <w:jc w:val="left"/>
        <w:rPr/>
      </w:pPr>
      <w:r>
        <w:rPr/>
        <w:t>Alexander A. Bondarev</w:t>
      </w:r>
      <w:r>
        <w:rPr>
          <w:vertAlign w:val="superscript"/>
        </w:rPr>
        <w:t>1</w:t>
      </w:r>
      <w:r>
        <w:rPr>
          <w:position w:val="0"/>
          <w:sz w:val="24"/>
          <w:sz w:val="24"/>
          <w:vertAlign w:val="baseline"/>
        </w:rPr>
        <w:t>*</w:t>
      </w:r>
      <w:r>
        <w:rPr/>
        <w:t>, Evgeny V. Naumov</w:t>
      </w:r>
      <w:r>
        <w:rPr>
          <w:vertAlign w:val="superscript"/>
        </w:rPr>
        <w:t>1</w:t>
      </w:r>
      <w:r>
        <w:rPr/>
        <w:t>, AssiyaZh. Kassanova</w:t>
      </w:r>
      <w:r>
        <w:rPr>
          <w:vertAlign w:val="superscript"/>
        </w:rPr>
        <w:t>2</w:t>
      </w:r>
      <w:r>
        <w:rPr/>
        <w:t>, Elena A. Krasnokutskaya</w:t>
      </w:r>
      <w:r>
        <w:rPr>
          <w:vertAlign w:val="superscript"/>
        </w:rPr>
        <w:t>3</w:t>
      </w:r>
      <w:r>
        <w:rPr/>
        <w:t>, Ksenia S. Stankevich</w:t>
      </w:r>
      <w:r>
        <w:rPr>
          <w:vertAlign w:val="superscript"/>
        </w:rPr>
        <w:t>3</w:t>
      </w:r>
      <w:r>
        <w:rPr/>
        <w:t>, Victor D. Filimonov</w:t>
      </w:r>
      <w:r>
        <w:rPr>
          <w:vertAlign w:val="superscript"/>
        </w:rPr>
        <w:t>3</w:t>
      </w:r>
      <w:r>
        <w:rPr>
          <w:position w:val="0"/>
          <w:sz w:val="24"/>
          <w:sz w:val="24"/>
          <w:vertAlign w:val="baseline"/>
        </w:rPr>
        <w:t>*</w:t>
      </w:r>
    </w:p>
    <w:p>
      <w:pPr>
        <w:pStyle w:val="BCAuthorAddress"/>
        <w:jc w:val="left"/>
        <w:rPr/>
      </w:pPr>
      <w:r>
        <w:rPr>
          <w:vertAlign w:val="superscript"/>
        </w:rPr>
        <w:t>1 </w:t>
      </w:r>
      <w:r>
        <w:rPr/>
        <w:t xml:space="preserve">Department of Biomedicine, Altai State University, Barnaul, Russia, </w:t>
      </w:r>
      <w:hyperlink r:id="rId2">
        <w:r>
          <w:rPr>
            <w:rStyle w:val="Style11"/>
          </w:rPr>
          <w:t>alex_root@mail.ru</w:t>
        </w:r>
      </w:hyperlink>
    </w:p>
    <w:p>
      <w:pPr>
        <w:pStyle w:val="BCAuthorAddress"/>
        <w:jc w:val="left"/>
        <w:rPr/>
      </w:pPr>
      <w:r>
        <w:rPr>
          <w:vertAlign w:val="superscript"/>
        </w:rPr>
        <w:t>2 </w:t>
      </w:r>
      <w:r>
        <w:rPr/>
        <w:t>S. Toraighyrov Pavlodar State University, Pavlodar, Kazakhstan</w:t>
      </w:r>
    </w:p>
    <w:p>
      <w:pPr>
        <w:pStyle w:val="BCAuthorAddress"/>
        <w:jc w:val="left"/>
        <w:rPr>
          <w:b w:val="false"/>
          <w:b w:val="false"/>
          <w:bCs w:val="false"/>
        </w:rPr>
      </w:pPr>
      <w:r>
        <w:rPr>
          <w:b w:val="false"/>
          <w:bCs w:val="false"/>
          <w:vertAlign w:val="superscript"/>
        </w:rPr>
        <w:t>3 </w:t>
      </w:r>
      <w:r>
        <w:rPr>
          <w:rFonts w:eastAsia="Liberation Serif" w:cs="Liberation Serif"/>
          <w:b w:val="false"/>
          <w:bCs w:val="false"/>
        </w:rPr>
        <w:t>The Kizhner Research Center,National ResearchTomsk Polytechnic University, Tomsk, Russian Federation</w:t>
      </w:r>
    </w:p>
    <w:p>
      <w:pPr>
        <w:pStyle w:val="TESupportingInformation"/>
        <w:rPr>
          <w:b/>
          <w:b/>
          <w:bCs/>
        </w:rPr>
      </w:pPr>
      <w:r>
        <w:rPr>
          <w:b/>
          <w:bCs/>
        </w:rPr>
        <w:t>1s. Results of modeling and deconvolution of heat flow experimental kinetic curves acquired in isothermal conditions</w:t>
      </w:r>
    </w:p>
    <w:p>
      <w:pPr>
        <w:pStyle w:val="TESupportingInformation"/>
        <w:rPr/>
      </w:pPr>
      <w:r>
        <w:rPr>
          <w:bCs/>
          <w:lang w:val="en-US"/>
        </w:rPr>
        <w:t xml:space="preserve">Deconvolution was performed by computer simulation of combinations of two independent and two consecutive autocatalytic reactions with varying values of thermal effects and kinetic parameters and minimization of the standard deviation from the experimental curve using the </w:t>
      </w:r>
      <w:r>
        <w:rPr>
          <w:color w:val="000000"/>
          <w:lang w:val="en-US"/>
        </w:rPr>
        <w:t xml:space="preserve">Broyden–Fletcher–Goldfarb–Shanno </w:t>
      </w:r>
      <w:r>
        <w:rPr>
          <w:bCs/>
          <w:lang w:val="en-US"/>
        </w:rPr>
        <w:t>algorithm (BFGS)</w:t>
      </w:r>
      <w:r>
        <w:rPr>
          <w:bCs/>
          <w:color w:val="0000FF"/>
          <w:vertAlign w:val="superscript"/>
          <w:lang w:val="en-US"/>
        </w:rPr>
        <w:t>1a</w:t>
      </w:r>
      <w:r>
        <w:rPr>
          <w:bCs/>
          <w:lang w:val="en-US"/>
        </w:rPr>
        <w:t xml:space="preserve"> implemented in our computer program,</w:t>
      </w:r>
      <w:r>
        <w:rPr>
          <w:bCs/>
          <w:color w:val="0000FF"/>
          <w:vertAlign w:val="superscript"/>
          <w:lang w:val="en-US"/>
        </w:rPr>
        <w:t>1b</w:t>
      </w:r>
      <w:r>
        <w:rPr>
          <w:bCs/>
          <w:lang w:val="en-US"/>
        </w:rPr>
        <w:t xml:space="preserve"> as well as </w:t>
      </w:r>
      <w:r>
        <w:rPr>
          <w:color w:val="000000"/>
          <w:lang w:val="en-US"/>
        </w:rPr>
        <w:t xml:space="preserve">Nelder–Mead </w:t>
      </w:r>
      <w:r>
        <w:rPr>
          <w:bCs/>
          <w:color w:val="0000FF"/>
          <w:vertAlign w:val="superscript"/>
          <w:lang w:val="en-US"/>
        </w:rPr>
        <w:t>1c</w:t>
      </w:r>
      <w:r>
        <w:rPr>
          <w:bCs/>
          <w:lang w:val="en-US"/>
        </w:rPr>
        <w:t xml:space="preserve"> method implemented in the R statistics software package for statistical analysis and processing.</w:t>
      </w:r>
      <w:r>
        <w:rPr>
          <w:bCs/>
          <w:color w:val="0000FF"/>
          <w:vertAlign w:val="superscript"/>
          <w:lang w:val="en-US"/>
        </w:rPr>
        <w:t>2</w:t>
      </w:r>
      <w:r>
        <w:rPr>
          <w:bCs/>
          <w:lang w:val="en-US"/>
        </w:rPr>
        <w:t xml:space="preserve"> The initial values for the first approximation were taken from the DSC-TGA data (endothermic reaction). Figures 1s.1-6 show the results of deconvolution. The model of two independent autocatalytic processes was found to describe the experimental dependencies more accurately.</w:t>
      </w:r>
    </w:p>
    <w:p>
      <w:pPr>
        <w:pStyle w:val="VDTableTitle"/>
        <w:rPr/>
      </w:pPr>
      <w:r>
        <w:rPr>
          <w:b/>
          <w:bCs/>
          <w:color w:val="000000"/>
          <w:lang w:val="en-US"/>
        </w:rPr>
        <w:t>Table 1s.1.</w:t>
      </w:r>
      <w:r>
        <w:rPr>
          <w:color w:val="000000"/>
          <w:lang w:val="en-US"/>
        </w:rPr>
        <w:t xml:space="preserve"> The result of the deconvolution of the heat flow measured during the isothermal decomposition of 2-nitrobenzenediazonium triflate </w:t>
      </w:r>
      <w:r>
        <w:rPr>
          <w:b/>
          <w:color w:val="000000"/>
          <w:lang w:val="en-US"/>
        </w:rPr>
        <w:t>1a</w:t>
      </w:r>
      <w:r>
        <w:rPr>
          <w:color w:val="000000"/>
          <w:lang w:val="en-US"/>
        </w:rPr>
        <w:t xml:space="preserve"> using the model of two independent autocatalytic processes.</w:t>
      </w:r>
    </w:p>
    <w:tbl>
      <w:tblPr>
        <w:tblW w:w="5000" w:type="pct"/>
        <w:jc w:val="left"/>
        <w:tblInd w:w="21" w:type="dxa"/>
        <w:tblBorders>
          <w:top w:val="single" w:sz="2" w:space="0" w:color="000001"/>
          <w:left w:val="single" w:sz="2" w:space="0" w:color="000001"/>
          <w:bottom w:val="single" w:sz="2" w:space="0" w:color="000001"/>
          <w:insideH w:val="single" w:sz="2" w:space="0" w:color="000001"/>
        </w:tblBorders>
        <w:tblCellMar>
          <w:top w:w="55" w:type="dxa"/>
          <w:left w:w="9" w:type="dxa"/>
          <w:bottom w:w="55" w:type="dxa"/>
          <w:right w:w="55" w:type="dxa"/>
        </w:tblCellMar>
      </w:tblPr>
      <w:tblGrid>
        <w:gridCol w:w="607"/>
        <w:gridCol w:w="1258"/>
        <w:gridCol w:w="1184"/>
        <w:gridCol w:w="1317"/>
        <w:gridCol w:w="1465"/>
        <w:gridCol w:w="1170"/>
        <w:gridCol w:w="1226"/>
        <w:gridCol w:w="1132"/>
      </w:tblGrid>
      <w:tr>
        <w:trPr>
          <w:trHeight w:val="256" w:hRule="atLeast"/>
        </w:trPr>
        <w:tc>
          <w:tcPr>
            <w:tcW w:w="607" w:type="dxa"/>
            <w:tcBorders>
              <w:top w:val="single" w:sz="2" w:space="0" w:color="000001"/>
              <w:left w:val="single" w:sz="2" w:space="0" w:color="000001"/>
              <w:bottom w:val="single" w:sz="2" w:space="0" w:color="000001"/>
              <w:insideH w:val="single" w:sz="2" w:space="0" w:color="000001"/>
            </w:tcBorders>
            <w:shd w:fill="FFFFFF" w:val="clear"/>
            <w:tcMar>
              <w:left w:w="9" w:type="dxa"/>
            </w:tcMar>
            <w:vAlign w:val="bottom"/>
          </w:tcPr>
          <w:p>
            <w:pPr>
              <w:pStyle w:val="TCTableBody"/>
              <w:spacing w:before="0" w:after="200"/>
              <w:rPr/>
            </w:pPr>
            <w:r>
              <w:rPr>
                <w:b/>
                <w:bCs/>
                <w:lang w:val="en-US"/>
              </w:rPr>
              <w:t>T </w:t>
            </w:r>
            <w:r>
              <w:rPr>
                <w:b/>
                <w:bCs/>
                <w:vertAlign w:val="superscript"/>
                <w:lang w:val="en-US"/>
              </w:rPr>
              <w:t>о</w:t>
            </w:r>
            <w:r>
              <w:rPr>
                <w:b/>
                <w:bCs/>
                <w:lang w:val="en-US"/>
              </w:rPr>
              <w:t>С</w:t>
            </w:r>
          </w:p>
        </w:tc>
        <w:tc>
          <w:tcPr>
            <w:tcW w:w="1258" w:type="dxa"/>
            <w:tcBorders>
              <w:top w:val="single" w:sz="2" w:space="0" w:color="000001"/>
              <w:left w:val="single" w:sz="2" w:space="0" w:color="000001"/>
              <w:bottom w:val="single" w:sz="2" w:space="0" w:color="000001"/>
              <w:insideH w:val="single" w:sz="2" w:space="0" w:color="000001"/>
            </w:tcBorders>
            <w:shd w:fill="FFFFFF" w:val="clear"/>
            <w:tcMar>
              <w:left w:w="9" w:type="dxa"/>
            </w:tcMar>
            <w:vAlign w:val="bottom"/>
          </w:tcPr>
          <w:p>
            <w:pPr>
              <w:pStyle w:val="TCTableBody"/>
              <w:spacing w:before="0" w:after="200"/>
              <w:rPr/>
            </w:pPr>
            <w:r>
              <w:rPr>
                <w:b/>
                <w:bCs/>
                <w:lang w:val="en-US"/>
              </w:rPr>
              <w:t>k</w:t>
            </w:r>
            <w:r>
              <w:rPr>
                <w:b/>
                <w:bCs/>
                <w:vertAlign w:val="subscript"/>
                <w:lang w:val="en-US"/>
              </w:rPr>
              <w:t>1</w:t>
            </w:r>
          </w:p>
        </w:tc>
        <w:tc>
          <w:tcPr>
            <w:tcW w:w="1184" w:type="dxa"/>
            <w:tcBorders>
              <w:top w:val="single" w:sz="2" w:space="0" w:color="000001"/>
              <w:left w:val="single" w:sz="2" w:space="0" w:color="000001"/>
              <w:bottom w:val="single" w:sz="2" w:space="0" w:color="000001"/>
              <w:insideH w:val="single" w:sz="2" w:space="0" w:color="000001"/>
            </w:tcBorders>
            <w:shd w:fill="FFFFFF" w:val="clear"/>
            <w:tcMar>
              <w:left w:w="9" w:type="dxa"/>
            </w:tcMar>
            <w:vAlign w:val="bottom"/>
          </w:tcPr>
          <w:p>
            <w:pPr>
              <w:pStyle w:val="TCTableBody"/>
              <w:spacing w:before="0" w:after="200"/>
              <w:rPr/>
            </w:pPr>
            <w:r>
              <w:rPr>
                <w:b/>
                <w:bCs/>
                <w:lang w:val="en-US"/>
              </w:rPr>
              <w:t>k</w:t>
            </w:r>
            <w:r>
              <w:rPr>
                <w:b/>
                <w:bCs/>
                <w:vertAlign w:val="subscript"/>
                <w:lang w:val="en-US"/>
              </w:rPr>
              <w:t>2</w:t>
            </w:r>
          </w:p>
        </w:tc>
        <w:tc>
          <w:tcPr>
            <w:tcW w:w="1317" w:type="dxa"/>
            <w:tcBorders>
              <w:top w:val="single" w:sz="2" w:space="0" w:color="000001"/>
              <w:left w:val="single" w:sz="2" w:space="0" w:color="000001"/>
              <w:bottom w:val="single" w:sz="2" w:space="0" w:color="000001"/>
              <w:insideH w:val="single" w:sz="2" w:space="0" w:color="000001"/>
            </w:tcBorders>
            <w:shd w:fill="FFFFFF" w:val="clear"/>
            <w:tcMar>
              <w:left w:w="9" w:type="dxa"/>
            </w:tcMar>
            <w:vAlign w:val="bottom"/>
          </w:tcPr>
          <w:p>
            <w:pPr>
              <w:pStyle w:val="TCTableBody"/>
              <w:spacing w:before="0" w:after="200"/>
              <w:rPr/>
            </w:pPr>
            <w:r>
              <w:rPr>
                <w:b/>
                <w:bCs/>
                <w:lang w:val="en-US"/>
              </w:rPr>
              <w:t>C</w:t>
            </w:r>
            <w:r>
              <w:rPr>
                <w:b/>
                <w:bCs/>
                <w:vertAlign w:val="subscript"/>
                <w:lang w:val="en-US"/>
              </w:rPr>
              <w:t>01</w:t>
            </w:r>
          </w:p>
        </w:tc>
        <w:tc>
          <w:tcPr>
            <w:tcW w:w="1465" w:type="dxa"/>
            <w:tcBorders>
              <w:top w:val="single" w:sz="2" w:space="0" w:color="000001"/>
              <w:left w:val="single" w:sz="2" w:space="0" w:color="000001"/>
              <w:bottom w:val="single" w:sz="2" w:space="0" w:color="000001"/>
              <w:insideH w:val="single" w:sz="2" w:space="0" w:color="000001"/>
            </w:tcBorders>
            <w:shd w:fill="FFFFFF" w:val="clear"/>
            <w:tcMar>
              <w:left w:w="9" w:type="dxa"/>
            </w:tcMar>
            <w:vAlign w:val="bottom"/>
          </w:tcPr>
          <w:p>
            <w:pPr>
              <w:pStyle w:val="TCTableBody"/>
              <w:spacing w:before="0" w:after="200"/>
              <w:rPr/>
            </w:pPr>
            <w:r>
              <w:rPr>
                <w:b/>
                <w:bCs/>
                <w:lang w:val="en-US"/>
              </w:rPr>
              <w:t>C</w:t>
            </w:r>
            <w:r>
              <w:rPr>
                <w:b/>
                <w:bCs/>
                <w:vertAlign w:val="subscript"/>
                <w:lang w:val="en-US"/>
              </w:rPr>
              <w:t>02</w:t>
            </w:r>
          </w:p>
        </w:tc>
        <w:tc>
          <w:tcPr>
            <w:tcW w:w="1170" w:type="dxa"/>
            <w:tcBorders>
              <w:top w:val="single" w:sz="2" w:space="0" w:color="000001"/>
              <w:left w:val="single" w:sz="2" w:space="0" w:color="000001"/>
              <w:bottom w:val="single" w:sz="2" w:space="0" w:color="000001"/>
              <w:insideH w:val="single" w:sz="2" w:space="0" w:color="000001"/>
            </w:tcBorders>
            <w:shd w:fill="FFFFFF" w:val="clear"/>
            <w:tcMar>
              <w:left w:w="9" w:type="dxa"/>
            </w:tcMar>
            <w:vAlign w:val="bottom"/>
          </w:tcPr>
          <w:p>
            <w:pPr>
              <w:pStyle w:val="TCTableBody"/>
              <w:spacing w:before="0" w:after="200"/>
              <w:rPr/>
            </w:pPr>
            <w:r>
              <w:rPr>
                <w:b/>
                <w:bCs/>
                <w:lang w:val="en-US"/>
              </w:rPr>
              <w:t>dH</w:t>
            </w:r>
            <w:r>
              <w:rPr>
                <w:b/>
                <w:bCs/>
                <w:vertAlign w:val="subscript"/>
                <w:lang w:val="en-US"/>
              </w:rPr>
              <w:t>1</w:t>
            </w:r>
          </w:p>
        </w:tc>
        <w:tc>
          <w:tcPr>
            <w:tcW w:w="1226" w:type="dxa"/>
            <w:tcBorders>
              <w:top w:val="single" w:sz="2" w:space="0" w:color="000001"/>
              <w:left w:val="single" w:sz="2" w:space="0" w:color="000001"/>
              <w:bottom w:val="single" w:sz="2" w:space="0" w:color="000001"/>
              <w:insideH w:val="single" w:sz="2" w:space="0" w:color="000001"/>
            </w:tcBorders>
            <w:shd w:fill="FFFFFF" w:val="clear"/>
            <w:tcMar>
              <w:left w:w="9" w:type="dxa"/>
            </w:tcMar>
            <w:vAlign w:val="bottom"/>
          </w:tcPr>
          <w:p>
            <w:pPr>
              <w:pStyle w:val="TCTableBody"/>
              <w:spacing w:before="0" w:after="200"/>
              <w:rPr/>
            </w:pPr>
            <w:r>
              <w:rPr>
                <w:b/>
                <w:bCs/>
                <w:lang w:val="en-US"/>
              </w:rPr>
              <w:t>dH</w:t>
            </w:r>
            <w:r>
              <w:rPr>
                <w:b/>
                <w:bCs/>
                <w:vertAlign w:val="subscript"/>
                <w:lang w:val="en-US"/>
              </w:rPr>
              <w:t>2</w:t>
            </w:r>
          </w:p>
        </w:tc>
        <w:tc>
          <w:tcPr>
            <w:tcW w:w="11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9" w:type="dxa"/>
            </w:tcMar>
            <w:vAlign w:val="bottom"/>
          </w:tcPr>
          <w:p>
            <w:pPr>
              <w:pStyle w:val="TCTableBody"/>
              <w:spacing w:before="0" w:after="200"/>
              <w:rPr/>
            </w:pPr>
            <w:r>
              <w:rPr/>
              <w:t>Quality</w:t>
            </w:r>
          </w:p>
        </w:tc>
      </w:tr>
      <w:tr>
        <w:trPr>
          <w:trHeight w:val="256" w:hRule="atLeast"/>
        </w:trPr>
        <w:tc>
          <w:tcPr>
            <w:tcW w:w="607" w:type="dxa"/>
            <w:tcBorders>
              <w:top w:val="single" w:sz="2" w:space="0" w:color="000001"/>
              <w:left w:val="single" w:sz="2" w:space="0" w:color="000001"/>
              <w:bottom w:val="single" w:sz="2" w:space="0" w:color="000001"/>
              <w:insideH w:val="single" w:sz="2" w:space="0" w:color="000001"/>
            </w:tcBorders>
            <w:shd w:fill="FFFFFF" w:val="clear"/>
            <w:tcMar>
              <w:left w:w="9" w:type="dxa"/>
            </w:tcMar>
            <w:vAlign w:val="bottom"/>
          </w:tcPr>
          <w:p>
            <w:pPr>
              <w:pStyle w:val="TCTableBody"/>
              <w:spacing w:before="0" w:after="200"/>
              <w:rPr/>
            </w:pPr>
            <w:r>
              <w:rPr/>
              <w:t>75</w:t>
            </w:r>
          </w:p>
        </w:tc>
        <w:tc>
          <w:tcPr>
            <w:tcW w:w="1258" w:type="dxa"/>
            <w:tcBorders>
              <w:top w:val="single" w:sz="2" w:space="0" w:color="000001"/>
              <w:left w:val="single" w:sz="2" w:space="0" w:color="000001"/>
              <w:bottom w:val="single" w:sz="2" w:space="0" w:color="000001"/>
              <w:insideH w:val="single" w:sz="2" w:space="0" w:color="000001"/>
            </w:tcBorders>
            <w:shd w:fill="FFFFFF" w:val="clear"/>
            <w:tcMar>
              <w:left w:w="9" w:type="dxa"/>
            </w:tcMar>
            <w:vAlign w:val="bottom"/>
          </w:tcPr>
          <w:p>
            <w:pPr>
              <w:pStyle w:val="TCTableBody"/>
              <w:spacing w:before="0" w:after="200"/>
              <w:rPr/>
            </w:pPr>
            <w:r>
              <w:rPr/>
              <w:t>0.5222</w:t>
            </w:r>
          </w:p>
        </w:tc>
        <w:tc>
          <w:tcPr>
            <w:tcW w:w="1184" w:type="dxa"/>
            <w:tcBorders>
              <w:top w:val="single" w:sz="2" w:space="0" w:color="000001"/>
              <w:left w:val="single" w:sz="2" w:space="0" w:color="000001"/>
              <w:bottom w:val="single" w:sz="2" w:space="0" w:color="000001"/>
              <w:insideH w:val="single" w:sz="2" w:space="0" w:color="000001"/>
            </w:tcBorders>
            <w:shd w:fill="FFFFFF" w:val="clear"/>
            <w:tcMar>
              <w:left w:w="9" w:type="dxa"/>
            </w:tcMar>
            <w:vAlign w:val="bottom"/>
          </w:tcPr>
          <w:p>
            <w:pPr>
              <w:pStyle w:val="TCTableBody"/>
              <w:spacing w:before="0" w:after="200"/>
              <w:rPr/>
            </w:pPr>
            <w:r>
              <w:rPr/>
              <w:t>0.0480</w:t>
            </w:r>
          </w:p>
        </w:tc>
        <w:tc>
          <w:tcPr>
            <w:tcW w:w="1317" w:type="dxa"/>
            <w:tcBorders>
              <w:top w:val="single" w:sz="2" w:space="0" w:color="000001"/>
              <w:left w:val="single" w:sz="2" w:space="0" w:color="000001"/>
              <w:bottom w:val="single" w:sz="2" w:space="0" w:color="000001"/>
              <w:insideH w:val="single" w:sz="2" w:space="0" w:color="000001"/>
            </w:tcBorders>
            <w:shd w:fill="FFFFFF" w:val="clear"/>
            <w:tcMar>
              <w:left w:w="9" w:type="dxa"/>
            </w:tcMar>
            <w:vAlign w:val="bottom"/>
          </w:tcPr>
          <w:p>
            <w:pPr>
              <w:pStyle w:val="TCTableBody"/>
              <w:spacing w:before="0" w:after="200"/>
              <w:rPr/>
            </w:pPr>
            <w:r>
              <w:rPr/>
              <w:t>0.00133</w:t>
            </w:r>
          </w:p>
        </w:tc>
        <w:tc>
          <w:tcPr>
            <w:tcW w:w="1465" w:type="dxa"/>
            <w:tcBorders>
              <w:top w:val="single" w:sz="2" w:space="0" w:color="000001"/>
              <w:left w:val="single" w:sz="2" w:space="0" w:color="000001"/>
              <w:bottom w:val="single" w:sz="2" w:space="0" w:color="000001"/>
              <w:insideH w:val="single" w:sz="2" w:space="0" w:color="000001"/>
            </w:tcBorders>
            <w:shd w:fill="FFFFFF" w:val="clear"/>
            <w:tcMar>
              <w:left w:w="9" w:type="dxa"/>
            </w:tcMar>
            <w:vAlign w:val="bottom"/>
          </w:tcPr>
          <w:p>
            <w:pPr>
              <w:pStyle w:val="TCTableBody"/>
              <w:spacing w:before="0" w:after="200"/>
              <w:rPr/>
            </w:pPr>
            <w:r>
              <w:rPr/>
              <w:t>0.00304</w:t>
            </w:r>
          </w:p>
        </w:tc>
        <w:tc>
          <w:tcPr>
            <w:tcW w:w="1170" w:type="dxa"/>
            <w:tcBorders>
              <w:top w:val="single" w:sz="2" w:space="0" w:color="000001"/>
              <w:left w:val="single" w:sz="2" w:space="0" w:color="000001"/>
              <w:bottom w:val="single" w:sz="2" w:space="0" w:color="000001"/>
              <w:insideH w:val="single" w:sz="2" w:space="0" w:color="000001"/>
            </w:tcBorders>
            <w:shd w:fill="FFFFFF" w:val="clear"/>
            <w:tcMar>
              <w:left w:w="9" w:type="dxa"/>
            </w:tcMar>
            <w:vAlign w:val="bottom"/>
          </w:tcPr>
          <w:p>
            <w:pPr>
              <w:pStyle w:val="TCTableBody"/>
              <w:spacing w:before="0" w:after="200"/>
              <w:rPr/>
            </w:pPr>
            <w:r>
              <w:rPr/>
              <w:t>48.5</w:t>
            </w:r>
          </w:p>
        </w:tc>
        <w:tc>
          <w:tcPr>
            <w:tcW w:w="1226" w:type="dxa"/>
            <w:tcBorders>
              <w:top w:val="single" w:sz="2" w:space="0" w:color="000001"/>
              <w:left w:val="single" w:sz="2" w:space="0" w:color="000001"/>
              <w:bottom w:val="single" w:sz="2" w:space="0" w:color="000001"/>
              <w:insideH w:val="single" w:sz="2" w:space="0" w:color="000001"/>
            </w:tcBorders>
            <w:shd w:fill="FFFFFF" w:val="clear"/>
            <w:tcMar>
              <w:left w:w="9" w:type="dxa"/>
            </w:tcMar>
            <w:vAlign w:val="bottom"/>
          </w:tcPr>
          <w:p>
            <w:pPr>
              <w:pStyle w:val="TCTableBody"/>
              <w:spacing w:before="0" w:after="200"/>
              <w:rPr/>
            </w:pPr>
            <w:r>
              <w:rPr/>
              <w:t>-500.6</w:t>
            </w:r>
          </w:p>
        </w:tc>
        <w:tc>
          <w:tcPr>
            <w:tcW w:w="11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9" w:type="dxa"/>
            </w:tcMar>
            <w:vAlign w:val="bottom"/>
          </w:tcPr>
          <w:p>
            <w:pPr>
              <w:pStyle w:val="TCTableBody"/>
              <w:spacing w:before="0" w:after="200"/>
              <w:rPr/>
            </w:pPr>
            <w:r>
              <w:rPr>
                <w:lang w:val="en-US"/>
              </w:rPr>
              <w:t>7.3·10</w:t>
            </w:r>
            <w:r>
              <w:rPr>
                <w:vertAlign w:val="superscript"/>
                <w:lang w:val="en-US"/>
              </w:rPr>
              <w:t>-10</w:t>
            </w:r>
          </w:p>
        </w:tc>
      </w:tr>
      <w:tr>
        <w:trPr>
          <w:trHeight w:val="256" w:hRule="atLeast"/>
        </w:trPr>
        <w:tc>
          <w:tcPr>
            <w:tcW w:w="607" w:type="dxa"/>
            <w:tcBorders>
              <w:top w:val="single" w:sz="2" w:space="0" w:color="000001"/>
              <w:left w:val="single" w:sz="2" w:space="0" w:color="000001"/>
              <w:bottom w:val="single" w:sz="2" w:space="0" w:color="000001"/>
              <w:insideH w:val="single" w:sz="2" w:space="0" w:color="000001"/>
            </w:tcBorders>
            <w:shd w:fill="FFFFFF" w:val="clear"/>
            <w:tcMar>
              <w:left w:w="9" w:type="dxa"/>
            </w:tcMar>
            <w:vAlign w:val="bottom"/>
          </w:tcPr>
          <w:p>
            <w:pPr>
              <w:pStyle w:val="TCTableBody"/>
              <w:spacing w:before="0" w:after="200"/>
              <w:rPr/>
            </w:pPr>
            <w:r>
              <w:rPr/>
              <w:t>80</w:t>
            </w:r>
          </w:p>
        </w:tc>
        <w:tc>
          <w:tcPr>
            <w:tcW w:w="1258" w:type="dxa"/>
            <w:tcBorders>
              <w:top w:val="single" w:sz="2" w:space="0" w:color="000001"/>
              <w:left w:val="single" w:sz="2" w:space="0" w:color="000001"/>
              <w:bottom w:val="single" w:sz="2" w:space="0" w:color="000001"/>
              <w:insideH w:val="single" w:sz="2" w:space="0" w:color="000001"/>
            </w:tcBorders>
            <w:shd w:fill="FFFFFF" w:val="clear"/>
            <w:tcMar>
              <w:left w:w="9" w:type="dxa"/>
            </w:tcMar>
            <w:vAlign w:val="bottom"/>
          </w:tcPr>
          <w:p>
            <w:pPr>
              <w:pStyle w:val="TCTableBody"/>
              <w:spacing w:before="0" w:after="200"/>
              <w:rPr/>
            </w:pPr>
            <w:r>
              <w:rPr/>
              <w:t>0.4046</w:t>
            </w:r>
          </w:p>
        </w:tc>
        <w:tc>
          <w:tcPr>
            <w:tcW w:w="1184" w:type="dxa"/>
            <w:tcBorders>
              <w:top w:val="single" w:sz="2" w:space="0" w:color="000001"/>
              <w:left w:val="single" w:sz="2" w:space="0" w:color="000001"/>
              <w:bottom w:val="single" w:sz="2" w:space="0" w:color="000001"/>
              <w:insideH w:val="single" w:sz="2" w:space="0" w:color="000001"/>
            </w:tcBorders>
            <w:shd w:fill="FFFFFF" w:val="clear"/>
            <w:tcMar>
              <w:left w:w="9" w:type="dxa"/>
            </w:tcMar>
            <w:vAlign w:val="bottom"/>
          </w:tcPr>
          <w:p>
            <w:pPr>
              <w:pStyle w:val="TCTableBody"/>
              <w:spacing w:before="0" w:after="200"/>
              <w:rPr/>
            </w:pPr>
            <w:r>
              <w:rPr/>
              <w:t>0.0489</w:t>
            </w:r>
          </w:p>
        </w:tc>
        <w:tc>
          <w:tcPr>
            <w:tcW w:w="1317" w:type="dxa"/>
            <w:tcBorders>
              <w:top w:val="single" w:sz="2" w:space="0" w:color="000001"/>
              <w:left w:val="single" w:sz="2" w:space="0" w:color="000001"/>
              <w:bottom w:val="single" w:sz="2" w:space="0" w:color="000001"/>
              <w:insideH w:val="single" w:sz="2" w:space="0" w:color="000001"/>
            </w:tcBorders>
            <w:shd w:fill="FFFFFF" w:val="clear"/>
            <w:tcMar>
              <w:left w:w="9" w:type="dxa"/>
            </w:tcMar>
            <w:vAlign w:val="bottom"/>
          </w:tcPr>
          <w:p>
            <w:pPr>
              <w:pStyle w:val="TCTableBody"/>
              <w:spacing w:before="0" w:after="200"/>
              <w:rPr/>
            </w:pPr>
            <w:r>
              <w:rPr/>
              <w:t>0.00111</w:t>
            </w:r>
          </w:p>
        </w:tc>
        <w:tc>
          <w:tcPr>
            <w:tcW w:w="1465" w:type="dxa"/>
            <w:tcBorders>
              <w:top w:val="single" w:sz="2" w:space="0" w:color="000001"/>
              <w:left w:val="single" w:sz="2" w:space="0" w:color="000001"/>
              <w:bottom w:val="single" w:sz="2" w:space="0" w:color="000001"/>
              <w:insideH w:val="single" w:sz="2" w:space="0" w:color="000001"/>
            </w:tcBorders>
            <w:shd w:fill="FFFFFF" w:val="clear"/>
            <w:tcMar>
              <w:left w:w="9" w:type="dxa"/>
            </w:tcMar>
            <w:vAlign w:val="bottom"/>
          </w:tcPr>
          <w:p>
            <w:pPr>
              <w:pStyle w:val="TCTableBody"/>
              <w:spacing w:before="0" w:after="200"/>
              <w:rPr/>
            </w:pPr>
            <w:r>
              <w:rPr/>
              <w:t>0.00230</w:t>
            </w:r>
          </w:p>
        </w:tc>
        <w:tc>
          <w:tcPr>
            <w:tcW w:w="1170" w:type="dxa"/>
            <w:tcBorders>
              <w:top w:val="single" w:sz="2" w:space="0" w:color="000001"/>
              <w:left w:val="single" w:sz="2" w:space="0" w:color="000001"/>
              <w:bottom w:val="single" w:sz="2" w:space="0" w:color="000001"/>
              <w:insideH w:val="single" w:sz="2" w:space="0" w:color="000001"/>
            </w:tcBorders>
            <w:shd w:fill="FFFFFF" w:val="clear"/>
            <w:tcMar>
              <w:left w:w="9" w:type="dxa"/>
            </w:tcMar>
            <w:vAlign w:val="bottom"/>
          </w:tcPr>
          <w:p>
            <w:pPr>
              <w:pStyle w:val="TCTableBody"/>
              <w:spacing w:before="0" w:after="200"/>
              <w:rPr/>
            </w:pPr>
            <w:r>
              <w:rPr/>
              <w:t>30.7</w:t>
            </w:r>
          </w:p>
        </w:tc>
        <w:tc>
          <w:tcPr>
            <w:tcW w:w="1226" w:type="dxa"/>
            <w:tcBorders>
              <w:top w:val="single" w:sz="2" w:space="0" w:color="000001"/>
              <w:left w:val="single" w:sz="2" w:space="0" w:color="000001"/>
              <w:bottom w:val="single" w:sz="2" w:space="0" w:color="000001"/>
              <w:insideH w:val="single" w:sz="2" w:space="0" w:color="000001"/>
            </w:tcBorders>
            <w:shd w:fill="FFFFFF" w:val="clear"/>
            <w:tcMar>
              <w:left w:w="9" w:type="dxa"/>
            </w:tcMar>
            <w:vAlign w:val="bottom"/>
          </w:tcPr>
          <w:p>
            <w:pPr>
              <w:pStyle w:val="TCTableBody"/>
              <w:spacing w:before="0" w:after="200"/>
              <w:rPr/>
            </w:pPr>
            <w:r>
              <w:rPr/>
              <w:t>-441.0</w:t>
            </w:r>
          </w:p>
        </w:tc>
        <w:tc>
          <w:tcPr>
            <w:tcW w:w="11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9" w:type="dxa"/>
            </w:tcMar>
            <w:vAlign w:val="bottom"/>
          </w:tcPr>
          <w:p>
            <w:pPr>
              <w:pStyle w:val="TCTableBody"/>
              <w:spacing w:before="0" w:after="200"/>
              <w:rPr/>
            </w:pPr>
            <w:r>
              <w:rPr>
                <w:lang w:val="en-US"/>
              </w:rPr>
              <w:t>7.1·10</w:t>
            </w:r>
            <w:r>
              <w:rPr>
                <w:vertAlign w:val="superscript"/>
                <w:lang w:val="en-US"/>
              </w:rPr>
              <w:t>-9</w:t>
            </w:r>
          </w:p>
        </w:tc>
      </w:tr>
      <w:tr>
        <w:trPr>
          <w:trHeight w:val="256" w:hRule="atLeast"/>
        </w:trPr>
        <w:tc>
          <w:tcPr>
            <w:tcW w:w="607" w:type="dxa"/>
            <w:tcBorders>
              <w:top w:val="single" w:sz="2" w:space="0" w:color="000001"/>
              <w:left w:val="single" w:sz="2" w:space="0" w:color="000001"/>
              <w:bottom w:val="single" w:sz="2" w:space="0" w:color="000001"/>
              <w:insideH w:val="single" w:sz="2" w:space="0" w:color="000001"/>
            </w:tcBorders>
            <w:shd w:fill="FFFFFF" w:val="clear"/>
            <w:tcMar>
              <w:left w:w="9" w:type="dxa"/>
            </w:tcMar>
            <w:vAlign w:val="bottom"/>
          </w:tcPr>
          <w:p>
            <w:pPr>
              <w:pStyle w:val="TCTableBody"/>
              <w:spacing w:before="0" w:after="200"/>
              <w:rPr/>
            </w:pPr>
            <w:r>
              <w:rPr/>
              <w:t>85</w:t>
            </w:r>
          </w:p>
        </w:tc>
        <w:tc>
          <w:tcPr>
            <w:tcW w:w="1258" w:type="dxa"/>
            <w:tcBorders>
              <w:top w:val="single" w:sz="2" w:space="0" w:color="000001"/>
              <w:left w:val="single" w:sz="2" w:space="0" w:color="000001"/>
              <w:bottom w:val="single" w:sz="2" w:space="0" w:color="000001"/>
              <w:insideH w:val="single" w:sz="2" w:space="0" w:color="000001"/>
            </w:tcBorders>
            <w:shd w:fill="FFFFFF" w:val="clear"/>
            <w:tcMar>
              <w:left w:w="9" w:type="dxa"/>
            </w:tcMar>
            <w:vAlign w:val="bottom"/>
          </w:tcPr>
          <w:p>
            <w:pPr>
              <w:pStyle w:val="TCTableBody"/>
              <w:spacing w:before="0" w:after="200"/>
              <w:rPr/>
            </w:pPr>
            <w:r>
              <w:rPr/>
              <w:t>0.9554</w:t>
            </w:r>
          </w:p>
        </w:tc>
        <w:tc>
          <w:tcPr>
            <w:tcW w:w="1184" w:type="dxa"/>
            <w:tcBorders>
              <w:top w:val="single" w:sz="2" w:space="0" w:color="000001"/>
              <w:left w:val="single" w:sz="2" w:space="0" w:color="000001"/>
              <w:bottom w:val="single" w:sz="2" w:space="0" w:color="000001"/>
              <w:insideH w:val="single" w:sz="2" w:space="0" w:color="000001"/>
            </w:tcBorders>
            <w:shd w:fill="FFFFFF" w:val="clear"/>
            <w:tcMar>
              <w:left w:w="9" w:type="dxa"/>
            </w:tcMar>
            <w:vAlign w:val="bottom"/>
          </w:tcPr>
          <w:p>
            <w:pPr>
              <w:pStyle w:val="TCTableBody"/>
              <w:spacing w:before="0" w:after="200"/>
              <w:rPr/>
            </w:pPr>
            <w:r>
              <w:rPr/>
              <w:t>0.0611</w:t>
            </w:r>
          </w:p>
        </w:tc>
        <w:tc>
          <w:tcPr>
            <w:tcW w:w="1317" w:type="dxa"/>
            <w:tcBorders>
              <w:top w:val="single" w:sz="2" w:space="0" w:color="000001"/>
              <w:left w:val="single" w:sz="2" w:space="0" w:color="000001"/>
              <w:bottom w:val="single" w:sz="2" w:space="0" w:color="000001"/>
              <w:insideH w:val="single" w:sz="2" w:space="0" w:color="000001"/>
            </w:tcBorders>
            <w:shd w:fill="FFFFFF" w:val="clear"/>
            <w:tcMar>
              <w:left w:w="9" w:type="dxa"/>
            </w:tcMar>
            <w:vAlign w:val="bottom"/>
          </w:tcPr>
          <w:p>
            <w:pPr>
              <w:pStyle w:val="TCTableBody"/>
              <w:spacing w:before="0" w:after="200"/>
              <w:rPr/>
            </w:pPr>
            <w:r>
              <w:rPr/>
              <w:t>0.00070</w:t>
            </w:r>
          </w:p>
        </w:tc>
        <w:tc>
          <w:tcPr>
            <w:tcW w:w="1465" w:type="dxa"/>
            <w:tcBorders>
              <w:top w:val="single" w:sz="2" w:space="0" w:color="000001"/>
              <w:left w:val="single" w:sz="2" w:space="0" w:color="000001"/>
              <w:bottom w:val="single" w:sz="2" w:space="0" w:color="000001"/>
              <w:insideH w:val="single" w:sz="2" w:space="0" w:color="000001"/>
            </w:tcBorders>
            <w:shd w:fill="FFFFFF" w:val="clear"/>
            <w:tcMar>
              <w:left w:w="9" w:type="dxa"/>
            </w:tcMar>
            <w:vAlign w:val="bottom"/>
          </w:tcPr>
          <w:p>
            <w:pPr>
              <w:pStyle w:val="TCTableBody"/>
              <w:spacing w:before="0" w:after="200"/>
              <w:rPr/>
            </w:pPr>
            <w:r>
              <w:rPr/>
              <w:t>0.00272</w:t>
            </w:r>
          </w:p>
        </w:tc>
        <w:tc>
          <w:tcPr>
            <w:tcW w:w="1170" w:type="dxa"/>
            <w:tcBorders>
              <w:top w:val="single" w:sz="2" w:space="0" w:color="000001"/>
              <w:left w:val="single" w:sz="2" w:space="0" w:color="000001"/>
              <w:bottom w:val="single" w:sz="2" w:space="0" w:color="000001"/>
              <w:insideH w:val="single" w:sz="2" w:space="0" w:color="000001"/>
            </w:tcBorders>
            <w:shd w:fill="FFFFFF" w:val="clear"/>
            <w:tcMar>
              <w:left w:w="9" w:type="dxa"/>
            </w:tcMar>
            <w:vAlign w:val="bottom"/>
          </w:tcPr>
          <w:p>
            <w:pPr>
              <w:pStyle w:val="TCTableBody"/>
              <w:spacing w:before="0" w:after="200"/>
              <w:rPr/>
            </w:pPr>
            <w:r>
              <w:rPr/>
              <w:t>32.5</w:t>
            </w:r>
          </w:p>
        </w:tc>
        <w:tc>
          <w:tcPr>
            <w:tcW w:w="1226" w:type="dxa"/>
            <w:tcBorders>
              <w:top w:val="single" w:sz="2" w:space="0" w:color="000001"/>
              <w:left w:val="single" w:sz="2" w:space="0" w:color="000001"/>
              <w:bottom w:val="single" w:sz="2" w:space="0" w:color="000001"/>
              <w:insideH w:val="single" w:sz="2" w:space="0" w:color="000001"/>
            </w:tcBorders>
            <w:shd w:fill="FFFFFF" w:val="clear"/>
            <w:tcMar>
              <w:left w:w="9" w:type="dxa"/>
            </w:tcMar>
            <w:vAlign w:val="bottom"/>
          </w:tcPr>
          <w:p>
            <w:pPr>
              <w:pStyle w:val="TCTableBody"/>
              <w:spacing w:before="0" w:after="200"/>
              <w:rPr/>
            </w:pPr>
            <w:r>
              <w:rPr/>
              <w:t>-453.9</w:t>
            </w:r>
          </w:p>
        </w:tc>
        <w:tc>
          <w:tcPr>
            <w:tcW w:w="11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9" w:type="dxa"/>
            </w:tcMar>
            <w:vAlign w:val="bottom"/>
          </w:tcPr>
          <w:p>
            <w:pPr>
              <w:pStyle w:val="TCTableBody"/>
              <w:spacing w:before="0" w:after="200"/>
              <w:rPr/>
            </w:pPr>
            <w:r>
              <w:rPr>
                <w:lang w:val="en-US"/>
              </w:rPr>
              <w:t>1.3·10</w:t>
            </w:r>
            <w:r>
              <w:rPr>
                <w:vertAlign w:val="superscript"/>
                <w:lang w:val="en-US"/>
              </w:rPr>
              <w:t>-8</w:t>
            </w:r>
          </w:p>
        </w:tc>
      </w:tr>
    </w:tbl>
    <w:p>
      <w:pPr>
        <w:pStyle w:val="TESupportingInformation"/>
        <w:bidi w:val="0"/>
        <w:spacing w:before="0" w:after="0"/>
        <w:jc w:val="left"/>
        <w:rPr/>
      </w:pPr>
      <w:r>
        <w:rPr/>
      </w:r>
    </w:p>
    <w:p>
      <w:pPr>
        <w:pStyle w:val="VDTableTitle"/>
        <w:rPr/>
      </w:pPr>
      <w:r>
        <w:rPr>
          <w:b/>
          <w:bCs/>
          <w:color w:val="000000"/>
          <w:lang w:val="en-US"/>
        </w:rPr>
        <w:t>Table 1s.2.</w:t>
      </w:r>
      <w:r>
        <w:rPr>
          <w:color w:val="000000"/>
          <w:lang w:val="en-US"/>
        </w:rPr>
        <w:t xml:space="preserve"> The result of the deconvolution of the heat flow measured during the isothermal decomposition of 2-nitrobenzenediazonium triflate </w:t>
      </w:r>
      <w:r>
        <w:rPr>
          <w:b/>
          <w:color w:val="000000"/>
          <w:lang w:val="en-US"/>
        </w:rPr>
        <w:t>1a</w:t>
      </w:r>
      <w:r>
        <w:rPr>
          <w:color w:val="000000"/>
          <w:lang w:val="en-US"/>
        </w:rPr>
        <w:t xml:space="preserve"> using the model of two </w:t>
      </w:r>
      <w:r>
        <w:rPr>
          <w:bCs/>
          <w:lang w:val="en-US"/>
        </w:rPr>
        <w:t>consecutive</w:t>
      </w:r>
      <w:r>
        <w:rPr>
          <w:color w:val="000000"/>
          <w:lang w:val="en-US"/>
        </w:rPr>
        <w:t xml:space="preserve"> autocatalytic processes</w:t>
      </w:r>
      <w:r>
        <w:rPr>
          <w:lang w:val="en-US"/>
        </w:rPr>
        <w:t>.</w:t>
      </w:r>
    </w:p>
    <w:tbl>
      <w:tblPr>
        <w:tblW w:w="5000" w:type="pct"/>
        <w:jc w:val="left"/>
        <w:tblInd w:w="21" w:type="dxa"/>
        <w:tblBorders>
          <w:top w:val="single" w:sz="2" w:space="0" w:color="000001"/>
          <w:left w:val="single" w:sz="2" w:space="0" w:color="000001"/>
          <w:bottom w:val="single" w:sz="2" w:space="0" w:color="000001"/>
          <w:insideH w:val="single" w:sz="2" w:space="0" w:color="000001"/>
        </w:tblBorders>
        <w:tblCellMar>
          <w:top w:w="55" w:type="dxa"/>
          <w:left w:w="9" w:type="dxa"/>
          <w:bottom w:w="55" w:type="dxa"/>
          <w:right w:w="55" w:type="dxa"/>
        </w:tblCellMar>
      </w:tblPr>
      <w:tblGrid>
        <w:gridCol w:w="607"/>
        <w:gridCol w:w="1258"/>
        <w:gridCol w:w="1184"/>
        <w:gridCol w:w="1317"/>
        <w:gridCol w:w="1465"/>
        <w:gridCol w:w="1170"/>
        <w:gridCol w:w="1226"/>
        <w:gridCol w:w="1132"/>
      </w:tblGrid>
      <w:tr>
        <w:trPr>
          <w:trHeight w:val="256" w:hRule="atLeast"/>
          <w:cantSplit w:val="true"/>
        </w:trPr>
        <w:tc>
          <w:tcPr>
            <w:tcW w:w="607" w:type="dxa"/>
            <w:tcBorders>
              <w:top w:val="single" w:sz="2" w:space="0" w:color="000001"/>
              <w:left w:val="single" w:sz="2" w:space="0" w:color="000001"/>
              <w:bottom w:val="single" w:sz="2" w:space="0" w:color="000001"/>
              <w:insideH w:val="single" w:sz="2" w:space="0" w:color="000001"/>
            </w:tcBorders>
            <w:shd w:fill="FFFFFF" w:val="clear"/>
            <w:tcMar>
              <w:left w:w="9" w:type="dxa"/>
            </w:tcMar>
            <w:vAlign w:val="bottom"/>
          </w:tcPr>
          <w:p>
            <w:pPr>
              <w:pStyle w:val="TCTableBody"/>
              <w:spacing w:before="0" w:after="200"/>
              <w:rPr/>
            </w:pPr>
            <w:r>
              <w:rPr>
                <w:b/>
                <w:bCs/>
                <w:lang w:val="en-US"/>
              </w:rPr>
              <w:t>T </w:t>
            </w:r>
            <w:r>
              <w:rPr>
                <w:b/>
                <w:bCs/>
                <w:vertAlign w:val="superscript"/>
                <w:lang w:val="en-US"/>
              </w:rPr>
              <w:t>о</w:t>
            </w:r>
            <w:r>
              <w:rPr>
                <w:b/>
                <w:bCs/>
                <w:lang w:val="en-US"/>
              </w:rPr>
              <w:t>С</w:t>
            </w:r>
          </w:p>
        </w:tc>
        <w:tc>
          <w:tcPr>
            <w:tcW w:w="1258" w:type="dxa"/>
            <w:tcBorders>
              <w:top w:val="single" w:sz="2" w:space="0" w:color="000001"/>
              <w:left w:val="single" w:sz="2" w:space="0" w:color="000001"/>
              <w:bottom w:val="single" w:sz="2" w:space="0" w:color="000001"/>
              <w:insideH w:val="single" w:sz="2" w:space="0" w:color="000001"/>
            </w:tcBorders>
            <w:shd w:fill="FFFFFF" w:val="clear"/>
            <w:tcMar>
              <w:left w:w="9" w:type="dxa"/>
            </w:tcMar>
            <w:vAlign w:val="bottom"/>
          </w:tcPr>
          <w:p>
            <w:pPr>
              <w:pStyle w:val="TCTableBody"/>
              <w:spacing w:before="0" w:after="200"/>
              <w:rPr/>
            </w:pPr>
            <w:r>
              <w:rPr>
                <w:b/>
                <w:bCs/>
                <w:lang w:val="en-US"/>
              </w:rPr>
              <w:t>k</w:t>
            </w:r>
            <w:r>
              <w:rPr>
                <w:b/>
                <w:bCs/>
                <w:vertAlign w:val="subscript"/>
                <w:lang w:val="en-US"/>
              </w:rPr>
              <w:t>1</w:t>
            </w:r>
          </w:p>
        </w:tc>
        <w:tc>
          <w:tcPr>
            <w:tcW w:w="1184" w:type="dxa"/>
            <w:tcBorders>
              <w:top w:val="single" w:sz="2" w:space="0" w:color="000001"/>
              <w:left w:val="single" w:sz="2" w:space="0" w:color="000001"/>
              <w:bottom w:val="single" w:sz="2" w:space="0" w:color="000001"/>
              <w:insideH w:val="single" w:sz="2" w:space="0" w:color="000001"/>
            </w:tcBorders>
            <w:shd w:fill="FFFFFF" w:val="clear"/>
            <w:tcMar>
              <w:left w:w="9" w:type="dxa"/>
            </w:tcMar>
            <w:vAlign w:val="bottom"/>
          </w:tcPr>
          <w:p>
            <w:pPr>
              <w:pStyle w:val="TCTableBody"/>
              <w:spacing w:before="0" w:after="200"/>
              <w:rPr/>
            </w:pPr>
            <w:r>
              <w:rPr>
                <w:b/>
                <w:bCs/>
                <w:lang w:val="en-US"/>
              </w:rPr>
              <w:t>k</w:t>
            </w:r>
            <w:r>
              <w:rPr>
                <w:b/>
                <w:bCs/>
                <w:vertAlign w:val="subscript"/>
                <w:lang w:val="en-US"/>
              </w:rPr>
              <w:t>2</w:t>
            </w:r>
          </w:p>
        </w:tc>
        <w:tc>
          <w:tcPr>
            <w:tcW w:w="1317" w:type="dxa"/>
            <w:tcBorders>
              <w:top w:val="single" w:sz="2" w:space="0" w:color="000001"/>
              <w:left w:val="single" w:sz="2" w:space="0" w:color="000001"/>
              <w:bottom w:val="single" w:sz="2" w:space="0" w:color="000001"/>
              <w:insideH w:val="single" w:sz="2" w:space="0" w:color="000001"/>
            </w:tcBorders>
            <w:shd w:fill="FFFFFF" w:val="clear"/>
            <w:tcMar>
              <w:left w:w="9" w:type="dxa"/>
            </w:tcMar>
            <w:vAlign w:val="bottom"/>
          </w:tcPr>
          <w:p>
            <w:pPr>
              <w:pStyle w:val="TCTableBody"/>
              <w:spacing w:before="0" w:after="200"/>
              <w:rPr/>
            </w:pPr>
            <w:r>
              <w:rPr>
                <w:b/>
                <w:bCs/>
                <w:lang w:val="en-US"/>
              </w:rPr>
              <w:t>C</w:t>
            </w:r>
            <w:r>
              <w:rPr>
                <w:b/>
                <w:bCs/>
                <w:vertAlign w:val="subscript"/>
                <w:lang w:val="en-US"/>
              </w:rPr>
              <w:t>01</w:t>
            </w:r>
          </w:p>
        </w:tc>
        <w:tc>
          <w:tcPr>
            <w:tcW w:w="1465" w:type="dxa"/>
            <w:tcBorders>
              <w:top w:val="single" w:sz="2" w:space="0" w:color="000001"/>
              <w:left w:val="single" w:sz="2" w:space="0" w:color="000001"/>
              <w:bottom w:val="single" w:sz="2" w:space="0" w:color="000001"/>
              <w:insideH w:val="single" w:sz="2" w:space="0" w:color="000001"/>
            </w:tcBorders>
            <w:shd w:fill="FFFFFF" w:val="clear"/>
            <w:tcMar>
              <w:left w:w="9" w:type="dxa"/>
            </w:tcMar>
            <w:vAlign w:val="bottom"/>
          </w:tcPr>
          <w:p>
            <w:pPr>
              <w:pStyle w:val="TCTableBody"/>
              <w:spacing w:before="0" w:after="200"/>
              <w:rPr/>
            </w:pPr>
            <w:r>
              <w:rPr>
                <w:b/>
                <w:bCs/>
                <w:lang w:val="en-US"/>
              </w:rPr>
              <w:t>C</w:t>
            </w:r>
            <w:r>
              <w:rPr>
                <w:b/>
                <w:bCs/>
                <w:vertAlign w:val="subscript"/>
                <w:lang w:val="en-US"/>
              </w:rPr>
              <w:t>02</w:t>
            </w:r>
          </w:p>
        </w:tc>
        <w:tc>
          <w:tcPr>
            <w:tcW w:w="1170" w:type="dxa"/>
            <w:tcBorders>
              <w:top w:val="single" w:sz="2" w:space="0" w:color="000001"/>
              <w:left w:val="single" w:sz="2" w:space="0" w:color="000001"/>
              <w:bottom w:val="single" w:sz="2" w:space="0" w:color="000001"/>
              <w:insideH w:val="single" w:sz="2" w:space="0" w:color="000001"/>
            </w:tcBorders>
            <w:shd w:fill="FFFFFF" w:val="clear"/>
            <w:tcMar>
              <w:left w:w="9" w:type="dxa"/>
            </w:tcMar>
            <w:vAlign w:val="bottom"/>
          </w:tcPr>
          <w:p>
            <w:pPr>
              <w:pStyle w:val="TCTableBody"/>
              <w:spacing w:before="0" w:after="200"/>
              <w:rPr/>
            </w:pPr>
            <w:r>
              <w:rPr>
                <w:b/>
                <w:bCs/>
                <w:lang w:val="en-US"/>
              </w:rPr>
              <w:t>dH</w:t>
            </w:r>
            <w:r>
              <w:rPr>
                <w:b/>
                <w:bCs/>
                <w:vertAlign w:val="subscript"/>
                <w:lang w:val="en-US"/>
              </w:rPr>
              <w:t>1</w:t>
            </w:r>
          </w:p>
        </w:tc>
        <w:tc>
          <w:tcPr>
            <w:tcW w:w="1226" w:type="dxa"/>
            <w:tcBorders>
              <w:top w:val="single" w:sz="2" w:space="0" w:color="000001"/>
              <w:left w:val="single" w:sz="2" w:space="0" w:color="000001"/>
              <w:bottom w:val="single" w:sz="2" w:space="0" w:color="000001"/>
              <w:insideH w:val="single" w:sz="2" w:space="0" w:color="000001"/>
            </w:tcBorders>
            <w:shd w:fill="FFFFFF" w:val="clear"/>
            <w:tcMar>
              <w:left w:w="9" w:type="dxa"/>
            </w:tcMar>
            <w:vAlign w:val="bottom"/>
          </w:tcPr>
          <w:p>
            <w:pPr>
              <w:pStyle w:val="TCTableBody"/>
              <w:spacing w:before="0" w:after="200"/>
              <w:rPr/>
            </w:pPr>
            <w:r>
              <w:rPr>
                <w:b/>
                <w:bCs/>
                <w:lang w:val="en-US"/>
              </w:rPr>
              <w:t>dH</w:t>
            </w:r>
            <w:r>
              <w:rPr>
                <w:b/>
                <w:bCs/>
                <w:vertAlign w:val="subscript"/>
                <w:lang w:val="en-US"/>
              </w:rPr>
              <w:t>2</w:t>
            </w:r>
          </w:p>
        </w:tc>
        <w:tc>
          <w:tcPr>
            <w:tcW w:w="11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9" w:type="dxa"/>
            </w:tcMar>
            <w:vAlign w:val="bottom"/>
          </w:tcPr>
          <w:p>
            <w:pPr>
              <w:pStyle w:val="TCTableBody"/>
              <w:spacing w:before="0" w:after="200"/>
              <w:rPr/>
            </w:pPr>
            <w:r>
              <w:rPr/>
              <w:t>Quality</w:t>
            </w:r>
          </w:p>
        </w:tc>
      </w:tr>
      <w:tr>
        <w:trPr>
          <w:trHeight w:val="256" w:hRule="atLeast"/>
          <w:cantSplit w:val="true"/>
        </w:trPr>
        <w:tc>
          <w:tcPr>
            <w:tcW w:w="607" w:type="dxa"/>
            <w:tcBorders>
              <w:top w:val="single" w:sz="2" w:space="0" w:color="000001"/>
              <w:left w:val="single" w:sz="2" w:space="0" w:color="000001"/>
              <w:bottom w:val="single" w:sz="2" w:space="0" w:color="000001"/>
              <w:insideH w:val="single" w:sz="2" w:space="0" w:color="000001"/>
            </w:tcBorders>
            <w:shd w:fill="FFFFFF" w:val="clear"/>
            <w:tcMar>
              <w:left w:w="9" w:type="dxa"/>
            </w:tcMar>
            <w:vAlign w:val="bottom"/>
          </w:tcPr>
          <w:p>
            <w:pPr>
              <w:pStyle w:val="TCTableBody"/>
              <w:spacing w:before="0" w:after="200"/>
              <w:rPr/>
            </w:pPr>
            <w:r>
              <w:rPr/>
              <w:t>75</w:t>
            </w:r>
          </w:p>
        </w:tc>
        <w:tc>
          <w:tcPr>
            <w:tcW w:w="1258" w:type="dxa"/>
            <w:tcBorders>
              <w:top w:val="single" w:sz="2" w:space="0" w:color="000001"/>
              <w:left w:val="single" w:sz="2" w:space="0" w:color="000001"/>
              <w:bottom w:val="single" w:sz="2" w:space="0" w:color="000001"/>
              <w:insideH w:val="single" w:sz="2" w:space="0" w:color="000001"/>
            </w:tcBorders>
            <w:shd w:fill="FFFFFF" w:val="clear"/>
            <w:tcMar>
              <w:left w:w="9" w:type="dxa"/>
            </w:tcMar>
            <w:vAlign w:val="bottom"/>
          </w:tcPr>
          <w:p>
            <w:pPr>
              <w:pStyle w:val="TCTableBody"/>
              <w:spacing w:before="0" w:after="200"/>
              <w:rPr/>
            </w:pPr>
            <w:r>
              <w:rPr/>
              <w:t>0.4679</w:t>
            </w:r>
          </w:p>
        </w:tc>
        <w:tc>
          <w:tcPr>
            <w:tcW w:w="1184" w:type="dxa"/>
            <w:tcBorders>
              <w:top w:val="single" w:sz="2" w:space="0" w:color="000001"/>
              <w:left w:val="single" w:sz="2" w:space="0" w:color="000001"/>
              <w:bottom w:val="single" w:sz="2" w:space="0" w:color="000001"/>
              <w:insideH w:val="single" w:sz="2" w:space="0" w:color="000001"/>
            </w:tcBorders>
            <w:shd w:fill="FFFFFF" w:val="clear"/>
            <w:tcMar>
              <w:left w:w="9" w:type="dxa"/>
            </w:tcMar>
            <w:vAlign w:val="bottom"/>
          </w:tcPr>
          <w:p>
            <w:pPr>
              <w:pStyle w:val="TCTableBody"/>
              <w:spacing w:before="0" w:after="200"/>
              <w:rPr/>
            </w:pPr>
            <w:r>
              <w:rPr/>
              <w:t>0.0642</w:t>
            </w:r>
          </w:p>
        </w:tc>
        <w:tc>
          <w:tcPr>
            <w:tcW w:w="1317" w:type="dxa"/>
            <w:tcBorders>
              <w:top w:val="single" w:sz="2" w:space="0" w:color="000001"/>
              <w:left w:val="single" w:sz="2" w:space="0" w:color="000001"/>
              <w:bottom w:val="single" w:sz="2" w:space="0" w:color="000001"/>
              <w:insideH w:val="single" w:sz="2" w:space="0" w:color="000001"/>
            </w:tcBorders>
            <w:shd w:fill="FFFFFF" w:val="clear"/>
            <w:tcMar>
              <w:left w:w="9" w:type="dxa"/>
            </w:tcMar>
            <w:vAlign w:val="bottom"/>
          </w:tcPr>
          <w:p>
            <w:pPr>
              <w:pStyle w:val="TCTableBody"/>
              <w:spacing w:before="0" w:after="200"/>
              <w:rPr/>
            </w:pPr>
            <w:r>
              <w:rPr/>
              <w:t>0.00191</w:t>
            </w:r>
          </w:p>
        </w:tc>
        <w:tc>
          <w:tcPr>
            <w:tcW w:w="1465" w:type="dxa"/>
            <w:tcBorders>
              <w:top w:val="single" w:sz="2" w:space="0" w:color="000001"/>
              <w:left w:val="single" w:sz="2" w:space="0" w:color="000001"/>
              <w:bottom w:val="single" w:sz="2" w:space="0" w:color="000001"/>
              <w:insideH w:val="single" w:sz="2" w:space="0" w:color="000001"/>
            </w:tcBorders>
            <w:shd w:fill="FFFFFF" w:val="clear"/>
            <w:tcMar>
              <w:left w:w="9" w:type="dxa"/>
            </w:tcMar>
            <w:vAlign w:val="bottom"/>
          </w:tcPr>
          <w:p>
            <w:pPr>
              <w:pStyle w:val="TCTableBody"/>
              <w:spacing w:before="0" w:after="200"/>
              <w:rPr/>
            </w:pPr>
            <w:r>
              <w:rPr/>
              <w:t>0.00204</w:t>
            </w:r>
          </w:p>
        </w:tc>
        <w:tc>
          <w:tcPr>
            <w:tcW w:w="1170" w:type="dxa"/>
            <w:tcBorders>
              <w:top w:val="single" w:sz="2" w:space="0" w:color="000001"/>
              <w:left w:val="single" w:sz="2" w:space="0" w:color="000001"/>
              <w:bottom w:val="single" w:sz="2" w:space="0" w:color="000001"/>
              <w:insideH w:val="single" w:sz="2" w:space="0" w:color="000001"/>
            </w:tcBorders>
            <w:shd w:fill="FFFFFF" w:val="clear"/>
            <w:tcMar>
              <w:left w:w="9" w:type="dxa"/>
            </w:tcMar>
            <w:vAlign w:val="bottom"/>
          </w:tcPr>
          <w:p>
            <w:pPr>
              <w:pStyle w:val="TCTableBody"/>
              <w:spacing w:before="0" w:after="200"/>
              <w:rPr/>
            </w:pPr>
            <w:r>
              <w:rPr/>
              <w:t>39.2</w:t>
            </w:r>
          </w:p>
        </w:tc>
        <w:tc>
          <w:tcPr>
            <w:tcW w:w="1226" w:type="dxa"/>
            <w:tcBorders>
              <w:top w:val="single" w:sz="2" w:space="0" w:color="000001"/>
              <w:left w:val="single" w:sz="2" w:space="0" w:color="000001"/>
              <w:bottom w:val="single" w:sz="2" w:space="0" w:color="000001"/>
              <w:insideH w:val="single" w:sz="2" w:space="0" w:color="000001"/>
            </w:tcBorders>
            <w:shd w:fill="FFFFFF" w:val="clear"/>
            <w:tcMar>
              <w:left w:w="9" w:type="dxa"/>
            </w:tcMar>
            <w:vAlign w:val="bottom"/>
          </w:tcPr>
          <w:p>
            <w:pPr>
              <w:pStyle w:val="TCTableBody"/>
              <w:spacing w:before="0" w:after="200"/>
              <w:rPr/>
            </w:pPr>
            <w:r>
              <w:rPr/>
              <w:t>-520.7</w:t>
            </w:r>
          </w:p>
        </w:tc>
        <w:tc>
          <w:tcPr>
            <w:tcW w:w="11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9" w:type="dxa"/>
            </w:tcMar>
            <w:vAlign w:val="bottom"/>
          </w:tcPr>
          <w:p>
            <w:pPr>
              <w:pStyle w:val="TCTableBody"/>
              <w:spacing w:before="0" w:after="200"/>
              <w:rPr/>
            </w:pPr>
            <w:r>
              <w:rPr>
                <w:lang w:val="en-US"/>
              </w:rPr>
              <w:t>1.1·10</w:t>
            </w:r>
            <w:r>
              <w:rPr>
                <w:vertAlign w:val="superscript"/>
                <w:lang w:val="en-US"/>
              </w:rPr>
              <w:t>-9</w:t>
            </w:r>
          </w:p>
        </w:tc>
      </w:tr>
      <w:tr>
        <w:trPr>
          <w:trHeight w:val="256" w:hRule="atLeast"/>
          <w:cantSplit w:val="true"/>
        </w:trPr>
        <w:tc>
          <w:tcPr>
            <w:tcW w:w="607" w:type="dxa"/>
            <w:tcBorders>
              <w:top w:val="single" w:sz="2" w:space="0" w:color="000001"/>
              <w:left w:val="single" w:sz="2" w:space="0" w:color="000001"/>
              <w:bottom w:val="single" w:sz="2" w:space="0" w:color="000001"/>
              <w:insideH w:val="single" w:sz="2" w:space="0" w:color="000001"/>
            </w:tcBorders>
            <w:shd w:fill="FFFFFF" w:val="clear"/>
            <w:tcMar>
              <w:left w:w="9" w:type="dxa"/>
            </w:tcMar>
            <w:vAlign w:val="bottom"/>
          </w:tcPr>
          <w:p>
            <w:pPr>
              <w:pStyle w:val="TCTableBody"/>
              <w:spacing w:before="0" w:after="200"/>
              <w:rPr/>
            </w:pPr>
            <w:r>
              <w:rPr/>
              <w:t>80</w:t>
            </w:r>
          </w:p>
        </w:tc>
        <w:tc>
          <w:tcPr>
            <w:tcW w:w="1258" w:type="dxa"/>
            <w:tcBorders>
              <w:top w:val="single" w:sz="2" w:space="0" w:color="000001"/>
              <w:left w:val="single" w:sz="2" w:space="0" w:color="000001"/>
              <w:bottom w:val="single" w:sz="2" w:space="0" w:color="000001"/>
              <w:insideH w:val="single" w:sz="2" w:space="0" w:color="000001"/>
            </w:tcBorders>
            <w:shd w:fill="FFFFFF" w:val="clear"/>
            <w:tcMar>
              <w:left w:w="9" w:type="dxa"/>
            </w:tcMar>
            <w:vAlign w:val="bottom"/>
          </w:tcPr>
          <w:p>
            <w:pPr>
              <w:pStyle w:val="TCTableBody"/>
              <w:spacing w:before="0" w:after="200"/>
              <w:rPr/>
            </w:pPr>
            <w:r>
              <w:rPr/>
              <w:t>0.5791</w:t>
            </w:r>
          </w:p>
        </w:tc>
        <w:tc>
          <w:tcPr>
            <w:tcW w:w="1184" w:type="dxa"/>
            <w:tcBorders>
              <w:top w:val="single" w:sz="2" w:space="0" w:color="000001"/>
              <w:left w:val="single" w:sz="2" w:space="0" w:color="000001"/>
              <w:bottom w:val="single" w:sz="2" w:space="0" w:color="000001"/>
              <w:insideH w:val="single" w:sz="2" w:space="0" w:color="000001"/>
            </w:tcBorders>
            <w:shd w:fill="FFFFFF" w:val="clear"/>
            <w:tcMar>
              <w:left w:w="9" w:type="dxa"/>
            </w:tcMar>
            <w:vAlign w:val="bottom"/>
          </w:tcPr>
          <w:p>
            <w:pPr>
              <w:pStyle w:val="TCTableBody"/>
              <w:spacing w:before="0" w:after="200"/>
              <w:rPr/>
            </w:pPr>
            <w:r>
              <w:rPr/>
              <w:t>0.0435</w:t>
            </w:r>
          </w:p>
        </w:tc>
        <w:tc>
          <w:tcPr>
            <w:tcW w:w="1317" w:type="dxa"/>
            <w:tcBorders>
              <w:top w:val="single" w:sz="2" w:space="0" w:color="000001"/>
              <w:left w:val="single" w:sz="2" w:space="0" w:color="000001"/>
              <w:bottom w:val="single" w:sz="2" w:space="0" w:color="000001"/>
              <w:insideH w:val="single" w:sz="2" w:space="0" w:color="000001"/>
            </w:tcBorders>
            <w:shd w:fill="FFFFFF" w:val="clear"/>
            <w:tcMar>
              <w:left w:w="9" w:type="dxa"/>
            </w:tcMar>
            <w:vAlign w:val="bottom"/>
          </w:tcPr>
          <w:p>
            <w:pPr>
              <w:pStyle w:val="TCTableBody"/>
              <w:spacing w:before="0" w:after="200"/>
              <w:rPr/>
            </w:pPr>
            <w:r>
              <w:rPr/>
              <w:t>0.00122</w:t>
            </w:r>
          </w:p>
        </w:tc>
        <w:tc>
          <w:tcPr>
            <w:tcW w:w="1465" w:type="dxa"/>
            <w:tcBorders>
              <w:top w:val="single" w:sz="2" w:space="0" w:color="000001"/>
              <w:left w:val="single" w:sz="2" w:space="0" w:color="000001"/>
              <w:bottom w:val="single" w:sz="2" w:space="0" w:color="000001"/>
              <w:insideH w:val="single" w:sz="2" w:space="0" w:color="000001"/>
            </w:tcBorders>
            <w:shd w:fill="FFFFFF" w:val="clear"/>
            <w:tcMar>
              <w:left w:w="9" w:type="dxa"/>
            </w:tcMar>
            <w:vAlign w:val="bottom"/>
          </w:tcPr>
          <w:p>
            <w:pPr>
              <w:pStyle w:val="TCTableBody"/>
              <w:spacing w:before="0" w:after="200"/>
              <w:rPr/>
            </w:pPr>
            <w:r>
              <w:rPr/>
              <w:t>0.00263</w:t>
            </w:r>
          </w:p>
        </w:tc>
        <w:tc>
          <w:tcPr>
            <w:tcW w:w="1170" w:type="dxa"/>
            <w:tcBorders>
              <w:top w:val="single" w:sz="2" w:space="0" w:color="000001"/>
              <w:left w:val="single" w:sz="2" w:space="0" w:color="000001"/>
              <w:bottom w:val="single" w:sz="2" w:space="0" w:color="000001"/>
              <w:insideH w:val="single" w:sz="2" w:space="0" w:color="000001"/>
            </w:tcBorders>
            <w:shd w:fill="FFFFFF" w:val="clear"/>
            <w:tcMar>
              <w:left w:w="9" w:type="dxa"/>
            </w:tcMar>
            <w:vAlign w:val="bottom"/>
          </w:tcPr>
          <w:p>
            <w:pPr>
              <w:pStyle w:val="TCTableBody"/>
              <w:spacing w:before="0" w:after="200"/>
              <w:rPr/>
            </w:pPr>
            <w:r>
              <w:rPr/>
              <w:t>36.7</w:t>
            </w:r>
          </w:p>
        </w:tc>
        <w:tc>
          <w:tcPr>
            <w:tcW w:w="1226" w:type="dxa"/>
            <w:tcBorders>
              <w:top w:val="single" w:sz="2" w:space="0" w:color="000001"/>
              <w:left w:val="single" w:sz="2" w:space="0" w:color="000001"/>
              <w:bottom w:val="single" w:sz="2" w:space="0" w:color="000001"/>
              <w:insideH w:val="single" w:sz="2" w:space="0" w:color="000001"/>
            </w:tcBorders>
            <w:shd w:fill="FFFFFF" w:val="clear"/>
            <w:tcMar>
              <w:left w:w="9" w:type="dxa"/>
            </w:tcMar>
            <w:vAlign w:val="bottom"/>
          </w:tcPr>
          <w:p>
            <w:pPr>
              <w:pStyle w:val="TCTableBody"/>
              <w:spacing w:before="0" w:after="200"/>
              <w:rPr/>
            </w:pPr>
            <w:r>
              <w:rPr/>
              <w:t>-493.9</w:t>
            </w:r>
          </w:p>
        </w:tc>
        <w:tc>
          <w:tcPr>
            <w:tcW w:w="11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9" w:type="dxa"/>
            </w:tcMar>
            <w:vAlign w:val="bottom"/>
          </w:tcPr>
          <w:p>
            <w:pPr>
              <w:pStyle w:val="TCTableBody"/>
              <w:spacing w:before="0" w:after="200"/>
              <w:rPr/>
            </w:pPr>
            <w:r>
              <w:rPr>
                <w:lang w:val="en-US"/>
              </w:rPr>
              <w:t>6.1·10</w:t>
            </w:r>
            <w:r>
              <w:rPr>
                <w:vertAlign w:val="superscript"/>
                <w:lang w:val="en-US"/>
              </w:rPr>
              <w:t>-9</w:t>
            </w:r>
          </w:p>
        </w:tc>
      </w:tr>
      <w:tr>
        <w:trPr>
          <w:trHeight w:val="256" w:hRule="atLeast"/>
          <w:cantSplit w:val="true"/>
        </w:trPr>
        <w:tc>
          <w:tcPr>
            <w:tcW w:w="607" w:type="dxa"/>
            <w:tcBorders>
              <w:top w:val="single" w:sz="2" w:space="0" w:color="000001"/>
              <w:left w:val="single" w:sz="2" w:space="0" w:color="000001"/>
              <w:bottom w:val="single" w:sz="2" w:space="0" w:color="000001"/>
              <w:insideH w:val="single" w:sz="2" w:space="0" w:color="000001"/>
            </w:tcBorders>
            <w:shd w:fill="FFFFFF" w:val="clear"/>
            <w:tcMar>
              <w:left w:w="9" w:type="dxa"/>
            </w:tcMar>
            <w:vAlign w:val="bottom"/>
          </w:tcPr>
          <w:p>
            <w:pPr>
              <w:pStyle w:val="TCTableBody"/>
              <w:spacing w:before="0" w:after="200"/>
              <w:rPr/>
            </w:pPr>
            <w:r>
              <w:rPr/>
              <w:t>85</w:t>
            </w:r>
          </w:p>
        </w:tc>
        <w:tc>
          <w:tcPr>
            <w:tcW w:w="1258" w:type="dxa"/>
            <w:tcBorders>
              <w:top w:val="single" w:sz="2" w:space="0" w:color="000001"/>
              <w:left w:val="single" w:sz="2" w:space="0" w:color="000001"/>
              <w:bottom w:val="single" w:sz="2" w:space="0" w:color="000001"/>
              <w:insideH w:val="single" w:sz="2" w:space="0" w:color="000001"/>
            </w:tcBorders>
            <w:shd w:fill="FFFFFF" w:val="clear"/>
            <w:tcMar>
              <w:left w:w="9" w:type="dxa"/>
            </w:tcMar>
            <w:vAlign w:val="bottom"/>
          </w:tcPr>
          <w:p>
            <w:pPr>
              <w:pStyle w:val="TCTableBody"/>
              <w:spacing w:before="0" w:after="200"/>
              <w:rPr/>
            </w:pPr>
            <w:r>
              <w:rPr/>
              <w:t>1.0512</w:t>
            </w:r>
          </w:p>
        </w:tc>
        <w:tc>
          <w:tcPr>
            <w:tcW w:w="1184" w:type="dxa"/>
            <w:tcBorders>
              <w:top w:val="single" w:sz="2" w:space="0" w:color="000001"/>
              <w:left w:val="single" w:sz="2" w:space="0" w:color="000001"/>
              <w:bottom w:val="single" w:sz="2" w:space="0" w:color="000001"/>
              <w:insideH w:val="single" w:sz="2" w:space="0" w:color="000001"/>
            </w:tcBorders>
            <w:shd w:fill="FFFFFF" w:val="clear"/>
            <w:tcMar>
              <w:left w:w="9" w:type="dxa"/>
            </w:tcMar>
            <w:vAlign w:val="bottom"/>
          </w:tcPr>
          <w:p>
            <w:pPr>
              <w:pStyle w:val="TCTableBody"/>
              <w:spacing w:before="0" w:after="200"/>
              <w:rPr/>
            </w:pPr>
            <w:r>
              <w:rPr/>
              <w:t>0.0631</w:t>
            </w:r>
          </w:p>
        </w:tc>
        <w:tc>
          <w:tcPr>
            <w:tcW w:w="1317" w:type="dxa"/>
            <w:tcBorders>
              <w:top w:val="single" w:sz="2" w:space="0" w:color="000001"/>
              <w:left w:val="single" w:sz="2" w:space="0" w:color="000001"/>
              <w:bottom w:val="single" w:sz="2" w:space="0" w:color="000001"/>
              <w:insideH w:val="single" w:sz="2" w:space="0" w:color="000001"/>
            </w:tcBorders>
            <w:shd w:fill="FFFFFF" w:val="clear"/>
            <w:tcMar>
              <w:left w:w="9" w:type="dxa"/>
            </w:tcMar>
            <w:vAlign w:val="bottom"/>
          </w:tcPr>
          <w:p>
            <w:pPr>
              <w:pStyle w:val="TCTableBody"/>
              <w:spacing w:before="0" w:after="200"/>
              <w:rPr/>
            </w:pPr>
            <w:r>
              <w:rPr/>
              <w:t>0.00075</w:t>
            </w:r>
          </w:p>
        </w:tc>
        <w:tc>
          <w:tcPr>
            <w:tcW w:w="1465" w:type="dxa"/>
            <w:tcBorders>
              <w:top w:val="single" w:sz="2" w:space="0" w:color="000001"/>
              <w:left w:val="single" w:sz="2" w:space="0" w:color="000001"/>
              <w:bottom w:val="single" w:sz="2" w:space="0" w:color="000001"/>
              <w:insideH w:val="single" w:sz="2" w:space="0" w:color="000001"/>
            </w:tcBorders>
            <w:shd w:fill="FFFFFF" w:val="clear"/>
            <w:tcMar>
              <w:left w:w="9" w:type="dxa"/>
            </w:tcMar>
            <w:vAlign w:val="bottom"/>
          </w:tcPr>
          <w:p>
            <w:pPr>
              <w:pStyle w:val="TCTableBody"/>
              <w:spacing w:before="0" w:after="200"/>
              <w:rPr/>
            </w:pPr>
            <w:r>
              <w:rPr/>
              <w:t>0.00259</w:t>
            </w:r>
          </w:p>
        </w:tc>
        <w:tc>
          <w:tcPr>
            <w:tcW w:w="1170" w:type="dxa"/>
            <w:tcBorders>
              <w:top w:val="single" w:sz="2" w:space="0" w:color="000001"/>
              <w:left w:val="single" w:sz="2" w:space="0" w:color="000001"/>
              <w:bottom w:val="single" w:sz="2" w:space="0" w:color="000001"/>
              <w:insideH w:val="single" w:sz="2" w:space="0" w:color="000001"/>
            </w:tcBorders>
            <w:shd w:fill="FFFFFF" w:val="clear"/>
            <w:tcMar>
              <w:left w:w="9" w:type="dxa"/>
            </w:tcMar>
            <w:vAlign w:val="bottom"/>
          </w:tcPr>
          <w:p>
            <w:pPr>
              <w:pStyle w:val="TCTableBody"/>
              <w:spacing w:before="0" w:after="200"/>
              <w:rPr/>
            </w:pPr>
            <w:r>
              <w:rPr/>
              <w:t>31.8</w:t>
            </w:r>
          </w:p>
        </w:tc>
        <w:tc>
          <w:tcPr>
            <w:tcW w:w="1226" w:type="dxa"/>
            <w:tcBorders>
              <w:top w:val="single" w:sz="2" w:space="0" w:color="000001"/>
              <w:left w:val="single" w:sz="2" w:space="0" w:color="000001"/>
              <w:bottom w:val="single" w:sz="2" w:space="0" w:color="000001"/>
              <w:insideH w:val="single" w:sz="2" w:space="0" w:color="000001"/>
            </w:tcBorders>
            <w:shd w:fill="FFFFFF" w:val="clear"/>
            <w:tcMar>
              <w:left w:w="9" w:type="dxa"/>
            </w:tcMar>
            <w:vAlign w:val="bottom"/>
          </w:tcPr>
          <w:p>
            <w:pPr>
              <w:pStyle w:val="TCTableBody"/>
              <w:spacing w:before="0" w:after="200"/>
              <w:rPr/>
            </w:pPr>
            <w:r>
              <w:rPr/>
              <w:t>-483.4</w:t>
            </w:r>
          </w:p>
        </w:tc>
        <w:tc>
          <w:tcPr>
            <w:tcW w:w="11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9" w:type="dxa"/>
            </w:tcMar>
            <w:vAlign w:val="bottom"/>
          </w:tcPr>
          <w:p>
            <w:pPr>
              <w:pStyle w:val="TCTableBody"/>
              <w:spacing w:before="0" w:after="200"/>
              <w:rPr/>
            </w:pPr>
            <w:r>
              <w:rPr>
                <w:lang w:val="en-US"/>
              </w:rPr>
              <w:t>1.3·10</w:t>
            </w:r>
            <w:r>
              <w:rPr>
                <w:vertAlign w:val="superscript"/>
                <w:lang w:val="en-US"/>
              </w:rPr>
              <w:t>-8</w:t>
            </w:r>
          </w:p>
        </w:tc>
      </w:tr>
    </w:tbl>
    <w:p>
      <w:pPr>
        <w:pStyle w:val="TESupportingInformation"/>
        <w:rPr/>
      </w:pPr>
      <w:r>
        <w:rPr/>
      </w:r>
    </w:p>
    <w:p>
      <w:pPr>
        <w:pStyle w:val="TESupportingInformation"/>
        <w:jc w:val="left"/>
        <w:rPr/>
      </w:pPr>
      <w:r>
        <w:rPr/>
        <w:drawing>
          <wp:inline distT="0" distB="0" distL="0" distR="0">
            <wp:extent cx="4998085" cy="4542790"/>
            <wp:effectExtent l="0" t="0" r="0" b="0"/>
            <wp:docPr id="1" name="Изображение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Изображение1" descr=""/>
                    <pic:cNvPicPr>
                      <a:picLocks noChangeAspect="1" noChangeArrowheads="1"/>
                    </pic:cNvPicPr>
                  </pic:nvPicPr>
                  <pic:blipFill>
                    <a:blip r:embed="rId3"/>
                    <a:stretch>
                      <a:fillRect/>
                    </a:stretch>
                  </pic:blipFill>
                  <pic:spPr bwMode="auto">
                    <a:xfrm>
                      <a:off x="0" y="0"/>
                      <a:ext cx="4998085" cy="4542790"/>
                    </a:xfrm>
                    <a:prstGeom prst="rect">
                      <a:avLst/>
                    </a:prstGeom>
                  </pic:spPr>
                </pic:pic>
              </a:graphicData>
            </a:graphic>
          </wp:inline>
        </w:drawing>
      </w:r>
    </w:p>
    <w:p>
      <w:pPr>
        <w:pStyle w:val="VAFigureCaption"/>
        <w:jc w:val="left"/>
        <w:rPr/>
      </w:pPr>
      <w:r>
        <w:rPr>
          <w:b/>
          <w:bCs/>
          <w:lang w:val="en-US"/>
        </w:rPr>
        <w:t>Figure 1s.1.</w:t>
      </w:r>
      <w:r>
        <w:rPr>
          <w:lang w:val="en-US"/>
        </w:rPr>
        <w:t xml:space="preserve"> The heat flow experimental curve and its deconvolution results for the </w:t>
      </w:r>
      <w:r>
        <w:rPr>
          <w:color w:val="000000"/>
          <w:lang w:val="en-US"/>
        </w:rPr>
        <w:t xml:space="preserve">isothermal decomposition of 2-nitrobenzenediazonium triflate </w:t>
      </w:r>
      <w:r>
        <w:rPr>
          <w:b/>
          <w:color w:val="000000"/>
          <w:lang w:val="en-US"/>
        </w:rPr>
        <w:t>1a</w:t>
      </w:r>
      <w:r>
        <w:rPr>
          <w:lang w:val="en-US"/>
        </w:rPr>
        <w:t xml:space="preserve"> at 75 </w:t>
      </w:r>
      <w:r>
        <w:rPr>
          <w:vertAlign w:val="superscript"/>
        </w:rPr>
        <w:t>о</w:t>
      </w:r>
      <w:r>
        <w:rPr/>
        <w:t>С</w:t>
      </w:r>
      <w:r>
        <w:rPr>
          <w:lang w:val="en-US"/>
        </w:rPr>
        <w:t xml:space="preserve">. The deconvolution was done using </w:t>
      </w:r>
      <w:r>
        <w:rPr>
          <w:color w:val="000000"/>
          <w:lang w:val="en-US"/>
        </w:rPr>
        <w:t>the model of two independent autocatalytic processes.</w:t>
      </w:r>
    </w:p>
    <w:p>
      <w:pPr>
        <w:pStyle w:val="TESupportingInformation"/>
        <w:jc w:val="left"/>
        <w:rPr/>
      </w:pPr>
      <w:r>
        <w:rPr/>
        <w:drawing>
          <wp:inline distT="0" distB="0" distL="0" distR="0">
            <wp:extent cx="4990465" cy="4535805"/>
            <wp:effectExtent l="0" t="0" r="0" b="0"/>
            <wp:docPr id="2" name="Изображение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8" descr=""/>
                    <pic:cNvPicPr>
                      <a:picLocks noChangeAspect="1" noChangeArrowheads="1"/>
                    </pic:cNvPicPr>
                  </pic:nvPicPr>
                  <pic:blipFill>
                    <a:blip r:embed="rId4"/>
                    <a:stretch>
                      <a:fillRect/>
                    </a:stretch>
                  </pic:blipFill>
                  <pic:spPr bwMode="auto">
                    <a:xfrm>
                      <a:off x="0" y="0"/>
                      <a:ext cx="4990465" cy="4535805"/>
                    </a:xfrm>
                    <a:prstGeom prst="rect">
                      <a:avLst/>
                    </a:prstGeom>
                  </pic:spPr>
                </pic:pic>
              </a:graphicData>
            </a:graphic>
          </wp:inline>
        </w:drawing>
      </w:r>
    </w:p>
    <w:p>
      <w:pPr>
        <w:pStyle w:val="VAFigureCaption"/>
        <w:jc w:val="left"/>
        <w:rPr/>
      </w:pPr>
      <w:r>
        <w:rPr>
          <w:b/>
          <w:bCs/>
          <w:lang w:val="en-US"/>
        </w:rPr>
        <w:t>Figure 1s.2.</w:t>
      </w:r>
      <w:r>
        <w:rPr>
          <w:lang w:val="en-US"/>
        </w:rPr>
        <w:t xml:space="preserve"> The heat flow experimental curve and its deconvolution results for the </w:t>
      </w:r>
      <w:r>
        <w:rPr>
          <w:color w:val="000000"/>
          <w:lang w:val="en-US"/>
        </w:rPr>
        <w:t xml:space="preserve">isothermal decomposition of 2-nitrobenzenediazonium triflate </w:t>
      </w:r>
      <w:r>
        <w:rPr>
          <w:b/>
          <w:color w:val="000000"/>
          <w:lang w:val="en-US"/>
        </w:rPr>
        <w:t>1a</w:t>
      </w:r>
      <w:r>
        <w:rPr>
          <w:lang w:val="en-US"/>
        </w:rPr>
        <w:t xml:space="preserve"> at 80 </w:t>
      </w:r>
      <w:r>
        <w:rPr>
          <w:vertAlign w:val="superscript"/>
        </w:rPr>
        <w:t>о</w:t>
      </w:r>
      <w:r>
        <w:rPr/>
        <w:t>С</w:t>
      </w:r>
      <w:r>
        <w:rPr>
          <w:lang w:val="en-US"/>
        </w:rPr>
        <w:t xml:space="preserve">. The deconvolution was done using </w:t>
      </w:r>
      <w:r>
        <w:rPr>
          <w:color w:val="000000"/>
          <w:lang w:val="en-US"/>
        </w:rPr>
        <w:t>the model of two independent autocatalytic processes.</w:t>
      </w:r>
    </w:p>
    <w:p>
      <w:pPr>
        <w:pStyle w:val="TESupportingInformation"/>
        <w:jc w:val="left"/>
        <w:rPr/>
      </w:pPr>
      <w:r>
        <w:rPr/>
        <w:drawing>
          <wp:inline distT="0" distB="0" distL="0" distR="0">
            <wp:extent cx="4906010" cy="4458970"/>
            <wp:effectExtent l="0" t="0" r="0" b="0"/>
            <wp:docPr id="3" name="Изображение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Изображение33" descr=""/>
                    <pic:cNvPicPr>
                      <a:picLocks noChangeAspect="1" noChangeArrowheads="1"/>
                    </pic:cNvPicPr>
                  </pic:nvPicPr>
                  <pic:blipFill>
                    <a:blip r:embed="rId5"/>
                    <a:stretch>
                      <a:fillRect/>
                    </a:stretch>
                  </pic:blipFill>
                  <pic:spPr bwMode="auto">
                    <a:xfrm>
                      <a:off x="0" y="0"/>
                      <a:ext cx="4906010" cy="4458970"/>
                    </a:xfrm>
                    <a:prstGeom prst="rect">
                      <a:avLst/>
                    </a:prstGeom>
                  </pic:spPr>
                </pic:pic>
              </a:graphicData>
            </a:graphic>
          </wp:inline>
        </w:drawing>
      </w:r>
    </w:p>
    <w:p>
      <w:pPr>
        <w:pStyle w:val="VAFigureCaption"/>
        <w:jc w:val="left"/>
        <w:rPr/>
      </w:pPr>
      <w:r>
        <w:rPr>
          <w:b/>
          <w:bCs/>
          <w:lang w:val="en-US"/>
        </w:rPr>
        <w:t>Figure 1s.3.</w:t>
      </w:r>
      <w:r>
        <w:rPr>
          <w:lang w:val="en-US"/>
        </w:rPr>
        <w:t xml:space="preserve"> The heat flow experimental curve and its deconvolution results for the </w:t>
      </w:r>
      <w:r>
        <w:rPr>
          <w:color w:val="000000"/>
          <w:lang w:val="en-US"/>
        </w:rPr>
        <w:t xml:space="preserve">isothermal decomposition of 2-nitrobenzenediazonium triflate </w:t>
      </w:r>
      <w:r>
        <w:rPr>
          <w:b/>
          <w:color w:val="000000"/>
          <w:lang w:val="en-US"/>
        </w:rPr>
        <w:t>1a</w:t>
      </w:r>
      <w:r>
        <w:rPr>
          <w:lang w:val="en-US"/>
        </w:rPr>
        <w:t xml:space="preserve"> at 85 </w:t>
      </w:r>
      <w:r>
        <w:rPr>
          <w:vertAlign w:val="superscript"/>
        </w:rPr>
        <w:t>о</w:t>
      </w:r>
      <w:r>
        <w:rPr/>
        <w:t>С</w:t>
      </w:r>
      <w:r>
        <w:rPr>
          <w:lang w:val="en-US"/>
        </w:rPr>
        <w:t xml:space="preserve">. The deconvolution was done using </w:t>
      </w:r>
      <w:r>
        <w:rPr>
          <w:color w:val="000000"/>
          <w:lang w:val="en-US"/>
        </w:rPr>
        <w:t>the model of two independent autocatalytic processes.</w:t>
      </w:r>
    </w:p>
    <w:p>
      <w:pPr>
        <w:pStyle w:val="TESupportingInformation"/>
        <w:jc w:val="left"/>
        <w:rPr/>
      </w:pPr>
      <w:r>
        <w:rPr/>
        <w:drawing>
          <wp:inline distT="0" distB="0" distL="0" distR="0">
            <wp:extent cx="4924425" cy="4475480"/>
            <wp:effectExtent l="0" t="0" r="0" b="0"/>
            <wp:docPr id="4" name="Изображение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34" descr=""/>
                    <pic:cNvPicPr>
                      <a:picLocks noChangeAspect="1" noChangeArrowheads="1"/>
                    </pic:cNvPicPr>
                  </pic:nvPicPr>
                  <pic:blipFill>
                    <a:blip r:embed="rId6"/>
                    <a:stretch>
                      <a:fillRect/>
                    </a:stretch>
                  </pic:blipFill>
                  <pic:spPr bwMode="auto">
                    <a:xfrm>
                      <a:off x="0" y="0"/>
                      <a:ext cx="4924425" cy="4475480"/>
                    </a:xfrm>
                    <a:prstGeom prst="rect">
                      <a:avLst/>
                    </a:prstGeom>
                  </pic:spPr>
                </pic:pic>
              </a:graphicData>
            </a:graphic>
          </wp:inline>
        </w:drawing>
      </w:r>
    </w:p>
    <w:p>
      <w:pPr>
        <w:pStyle w:val="VAFigureCaption"/>
        <w:jc w:val="left"/>
        <w:rPr/>
      </w:pPr>
      <w:r>
        <w:rPr>
          <w:b/>
          <w:bCs/>
          <w:lang w:val="en-US"/>
        </w:rPr>
        <w:t>Figure 1s.4.</w:t>
      </w:r>
      <w:r>
        <w:rPr>
          <w:lang w:val="en-US"/>
        </w:rPr>
        <w:t xml:space="preserve"> The heat flow experimental curve and its deconvolution results for the </w:t>
      </w:r>
      <w:r>
        <w:rPr>
          <w:color w:val="000000"/>
          <w:lang w:val="en-US"/>
        </w:rPr>
        <w:t xml:space="preserve">isothermal decomposition of 2-nitrobenzenediazonium triflate </w:t>
      </w:r>
      <w:r>
        <w:rPr>
          <w:b/>
          <w:color w:val="000000"/>
          <w:lang w:val="en-US"/>
        </w:rPr>
        <w:t>1a</w:t>
      </w:r>
      <w:r>
        <w:rPr>
          <w:lang w:val="en-US"/>
        </w:rPr>
        <w:t xml:space="preserve"> at 75 </w:t>
      </w:r>
      <w:r>
        <w:rPr>
          <w:vertAlign w:val="superscript"/>
        </w:rPr>
        <w:t>о</w:t>
      </w:r>
      <w:r>
        <w:rPr/>
        <w:t>С</w:t>
      </w:r>
      <w:r>
        <w:rPr>
          <w:lang w:val="en-US"/>
        </w:rPr>
        <w:t xml:space="preserve">. The deconvolution was done using </w:t>
      </w:r>
      <w:r>
        <w:rPr>
          <w:color w:val="000000"/>
          <w:lang w:val="en-US"/>
        </w:rPr>
        <w:t xml:space="preserve">the model of two </w:t>
      </w:r>
      <w:r>
        <w:rPr>
          <w:bCs/>
          <w:lang w:val="en-US"/>
        </w:rPr>
        <w:t>consecutive</w:t>
      </w:r>
      <w:r>
        <w:rPr>
          <w:color w:val="000000"/>
          <w:lang w:val="en-US"/>
        </w:rPr>
        <w:t xml:space="preserve"> autocatalytic processes.</w:t>
      </w:r>
    </w:p>
    <w:p>
      <w:pPr>
        <w:pStyle w:val="TESupportingInformation"/>
        <w:jc w:val="left"/>
        <w:rPr/>
      </w:pPr>
      <w:r>
        <w:rPr/>
        <w:drawing>
          <wp:inline distT="0" distB="0" distL="0" distR="0">
            <wp:extent cx="4982845" cy="4528820"/>
            <wp:effectExtent l="0" t="0" r="0" b="0"/>
            <wp:docPr id="5" name="Изображение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35" descr=""/>
                    <pic:cNvPicPr>
                      <a:picLocks noChangeAspect="1" noChangeArrowheads="1"/>
                    </pic:cNvPicPr>
                  </pic:nvPicPr>
                  <pic:blipFill>
                    <a:blip r:embed="rId7"/>
                    <a:stretch>
                      <a:fillRect/>
                    </a:stretch>
                  </pic:blipFill>
                  <pic:spPr bwMode="auto">
                    <a:xfrm>
                      <a:off x="0" y="0"/>
                      <a:ext cx="4982845" cy="4528820"/>
                    </a:xfrm>
                    <a:prstGeom prst="rect">
                      <a:avLst/>
                    </a:prstGeom>
                  </pic:spPr>
                </pic:pic>
              </a:graphicData>
            </a:graphic>
          </wp:inline>
        </w:drawing>
      </w:r>
    </w:p>
    <w:p>
      <w:pPr>
        <w:pStyle w:val="VAFigureCaption"/>
        <w:jc w:val="left"/>
        <w:rPr/>
      </w:pPr>
      <w:r>
        <w:rPr>
          <w:b/>
          <w:bCs/>
          <w:lang w:val="en-US"/>
        </w:rPr>
        <w:t>Figure 1s.5.</w:t>
      </w:r>
      <w:r>
        <w:rPr>
          <w:lang w:val="en-US"/>
        </w:rPr>
        <w:t xml:space="preserve"> The heat flow experimental curve and its deconvolution results for the </w:t>
      </w:r>
      <w:r>
        <w:rPr>
          <w:color w:val="000000"/>
          <w:lang w:val="en-US"/>
        </w:rPr>
        <w:t xml:space="preserve">isothermal decomposition of 2-nitrobenzenediazonium triflate </w:t>
      </w:r>
      <w:r>
        <w:rPr>
          <w:b/>
          <w:color w:val="000000"/>
          <w:lang w:val="en-US"/>
        </w:rPr>
        <w:t>1a</w:t>
      </w:r>
      <w:r>
        <w:rPr>
          <w:lang w:val="en-US"/>
        </w:rPr>
        <w:t xml:space="preserve"> at 80 </w:t>
      </w:r>
      <w:r>
        <w:rPr>
          <w:vertAlign w:val="superscript"/>
        </w:rPr>
        <w:t>о</w:t>
      </w:r>
      <w:r>
        <w:rPr/>
        <w:t>С</w:t>
      </w:r>
      <w:r>
        <w:rPr>
          <w:lang w:val="en-US"/>
        </w:rPr>
        <w:t xml:space="preserve">. The deconvolution was done using </w:t>
      </w:r>
      <w:r>
        <w:rPr>
          <w:color w:val="000000"/>
          <w:lang w:val="en-US"/>
        </w:rPr>
        <w:t xml:space="preserve">the model of two </w:t>
      </w:r>
      <w:r>
        <w:rPr>
          <w:bCs/>
          <w:lang w:val="en-US"/>
        </w:rPr>
        <w:t>consecutive</w:t>
      </w:r>
      <w:r>
        <w:rPr>
          <w:color w:val="000000"/>
          <w:lang w:val="en-US"/>
        </w:rPr>
        <w:t xml:space="preserve"> autocatalytic processes.</w:t>
      </w:r>
    </w:p>
    <w:p>
      <w:pPr>
        <w:pStyle w:val="TESupportingInformation"/>
        <w:jc w:val="left"/>
        <w:rPr/>
      </w:pPr>
      <w:r>
        <w:rPr/>
        <w:drawing>
          <wp:inline distT="0" distB="0" distL="0" distR="0">
            <wp:extent cx="4946650" cy="4495800"/>
            <wp:effectExtent l="0" t="0" r="0" b="0"/>
            <wp:docPr id="6" name="Изображение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Изображение36" descr=""/>
                    <pic:cNvPicPr>
                      <a:picLocks noChangeAspect="1" noChangeArrowheads="1"/>
                    </pic:cNvPicPr>
                  </pic:nvPicPr>
                  <pic:blipFill>
                    <a:blip r:embed="rId8"/>
                    <a:stretch>
                      <a:fillRect/>
                    </a:stretch>
                  </pic:blipFill>
                  <pic:spPr bwMode="auto">
                    <a:xfrm>
                      <a:off x="0" y="0"/>
                      <a:ext cx="4946650" cy="4495800"/>
                    </a:xfrm>
                    <a:prstGeom prst="rect">
                      <a:avLst/>
                    </a:prstGeom>
                  </pic:spPr>
                </pic:pic>
              </a:graphicData>
            </a:graphic>
          </wp:inline>
        </w:drawing>
      </w:r>
    </w:p>
    <w:p>
      <w:pPr>
        <w:pStyle w:val="VAFigureCaption"/>
        <w:jc w:val="left"/>
        <w:rPr/>
      </w:pPr>
      <w:r>
        <w:rPr>
          <w:b/>
          <w:bCs/>
          <w:lang w:val="en-US"/>
        </w:rPr>
        <w:t>Figure 1s.6.</w:t>
      </w:r>
      <w:r>
        <w:rPr>
          <w:lang w:val="en-US"/>
        </w:rPr>
        <w:t xml:space="preserve"> The heat flow experimental curve and its deconvolution results for the </w:t>
      </w:r>
      <w:r>
        <w:rPr>
          <w:color w:val="000000"/>
          <w:lang w:val="en-US"/>
        </w:rPr>
        <w:t xml:space="preserve">isothermal decomposition of 2-nitrobenzenediazonium triflate </w:t>
      </w:r>
      <w:r>
        <w:rPr>
          <w:b/>
          <w:color w:val="000000"/>
          <w:lang w:val="en-US"/>
        </w:rPr>
        <w:t>1a</w:t>
      </w:r>
      <w:r>
        <w:rPr>
          <w:lang w:val="en-US"/>
        </w:rPr>
        <w:t xml:space="preserve"> at 85 </w:t>
      </w:r>
      <w:r>
        <w:rPr>
          <w:vertAlign w:val="superscript"/>
        </w:rPr>
        <w:t>о</w:t>
      </w:r>
      <w:r>
        <w:rPr/>
        <w:t>С</w:t>
      </w:r>
      <w:r>
        <w:rPr>
          <w:lang w:val="en-US"/>
        </w:rPr>
        <w:t xml:space="preserve">. The deconvolution was done using </w:t>
      </w:r>
      <w:r>
        <w:rPr>
          <w:color w:val="000000"/>
          <w:lang w:val="en-US"/>
        </w:rPr>
        <w:t xml:space="preserve">the model of two </w:t>
      </w:r>
      <w:r>
        <w:rPr>
          <w:bCs/>
          <w:lang w:val="en-US"/>
        </w:rPr>
        <w:t>consecutive</w:t>
      </w:r>
      <w:r>
        <w:rPr>
          <w:color w:val="000000"/>
          <w:lang w:val="en-US"/>
        </w:rPr>
        <w:t xml:space="preserve"> autocatalytic processes.</w:t>
      </w:r>
    </w:p>
    <w:p>
      <w:pPr>
        <w:pStyle w:val="TESupportingInformation"/>
        <w:rPr/>
      </w:pPr>
      <w:r>
        <w:rPr>
          <w:color w:val="000000"/>
          <w:lang w:val="en-US"/>
        </w:rPr>
        <w:t xml:space="preserve"> </w:t>
      </w:r>
      <w:r>
        <w:rPr>
          <w:b/>
          <w:bCs/>
          <w:color w:val="000000"/>
          <w:lang w:val="en-US"/>
        </w:rPr>
        <w:t>REFERENCES</w:t>
      </w:r>
    </w:p>
    <w:p>
      <w:pPr>
        <w:pStyle w:val="TESupportingInformation"/>
        <w:rPr/>
      </w:pPr>
      <w:r>
        <w:rPr/>
        <w:t>Perry, R. H.; Green, D. W. Perry’s Chemical Engineers’Handbook; The McGraw-Hill: 1999.</w:t>
      </w:r>
    </w:p>
    <w:p>
      <w:pPr>
        <w:pStyle w:val="TESupportingInformation"/>
        <w:numPr>
          <w:ilvl w:val="0"/>
          <w:numId w:val="2"/>
        </w:numPr>
        <w:rPr/>
      </w:pPr>
      <w:r>
        <w:rPr>
          <w:rFonts w:eastAsia="Times New Roman" w:cs="Times New Roman" w:ascii="FreeSerif" w:hAnsi="FreeSerif"/>
          <w:color w:val="00000A"/>
          <w:lang w:val="en-US"/>
        </w:rPr>
        <w:t xml:space="preserve">(a) </w:t>
      </w:r>
      <w:r>
        <w:rPr>
          <w:rStyle w:val="14"/>
          <w:rFonts w:eastAsia="Times New Roman" w:cs="Times New Roman" w:ascii="FreeSerif" w:hAnsi="FreeSerif"/>
          <w:i w:val="false"/>
          <w:iCs w:val="false"/>
          <w:color w:val="00000A"/>
          <w:lang w:val="en-US"/>
        </w:rPr>
        <w:t xml:space="preserve">Fletcher, R. Practical methods of optimization (2nd ed.), New York: John Wiley &amp; Sons: </w:t>
      </w:r>
      <w:r>
        <w:rPr>
          <w:rStyle w:val="14"/>
          <w:rFonts w:eastAsia="Times New Roman" w:cs="Times New Roman" w:ascii="FreeSerif" w:hAnsi="FreeSerif"/>
          <w:b w:val="false"/>
          <w:bCs w:val="false"/>
          <w:i w:val="false"/>
          <w:iCs w:val="false"/>
          <w:color w:val="00000A"/>
          <w:lang w:val="en-US"/>
        </w:rPr>
        <w:t>1987</w:t>
      </w:r>
      <w:r>
        <w:rPr>
          <w:rStyle w:val="14"/>
          <w:rFonts w:eastAsia="Times New Roman" w:cs="Times New Roman" w:ascii="FreeSerif" w:hAnsi="FreeSerif"/>
          <w:i w:val="false"/>
          <w:iCs w:val="false"/>
          <w:color w:val="00000A"/>
          <w:lang w:val="en-US"/>
        </w:rPr>
        <w:t xml:space="preserve">, ISBN 978-0-471-91547-8, (b) Bondarev, A. Deconvolution-Kinetic. Zenodo November 7, </w:t>
      </w:r>
      <w:r>
        <w:rPr>
          <w:rStyle w:val="14"/>
          <w:rFonts w:eastAsia="Times New Roman" w:cs="Times New Roman" w:ascii="FreeSerif" w:hAnsi="FreeSerif"/>
          <w:b/>
          <w:bCs/>
          <w:i w:val="false"/>
          <w:iCs w:val="false"/>
          <w:color w:val="00000A"/>
          <w:lang w:val="en-US"/>
        </w:rPr>
        <w:t>2018</w:t>
      </w:r>
      <w:r>
        <w:rPr>
          <w:rStyle w:val="14"/>
          <w:rFonts w:eastAsia="Times New Roman" w:cs="Times New Roman" w:ascii="FreeSerif" w:hAnsi="FreeSerif"/>
          <w:i w:val="false"/>
          <w:iCs w:val="false"/>
          <w:color w:val="00000A"/>
          <w:lang w:val="en-US"/>
        </w:rPr>
        <w:t xml:space="preserve">. </w:t>
      </w:r>
      <w:hyperlink r:id="rId9">
        <w:r>
          <w:rPr>
            <w:rStyle w:val="14"/>
            <w:rFonts w:eastAsia="Times New Roman" w:cs="Times New Roman" w:ascii="FreeSerif" w:hAnsi="FreeSerif"/>
            <w:i w:val="false"/>
            <w:iCs w:val="false"/>
            <w:color w:val="00000A"/>
            <w:lang w:val="en-US"/>
          </w:rPr>
          <w:t>https://doi.org/10.5281/zenodo.1478946</w:t>
        </w:r>
      </w:hyperlink>
      <w:r>
        <w:rPr>
          <w:rStyle w:val="14"/>
          <w:rFonts w:eastAsia="Times New Roman" w:cs="Times New Roman" w:ascii="FreeSerif" w:hAnsi="FreeSerif"/>
          <w:i w:val="false"/>
          <w:iCs w:val="false"/>
          <w:color w:val="00000A"/>
          <w:lang w:val="en-US"/>
        </w:rPr>
        <w:t xml:space="preserve">, (c) Nelder, J. A.; Mead, R. A Simplex Method for Function Minimization. The Computer Journal </w:t>
      </w:r>
      <w:r>
        <w:rPr>
          <w:rStyle w:val="14"/>
          <w:rFonts w:eastAsia="Times New Roman" w:cs="Times New Roman" w:ascii="FreeSerif" w:hAnsi="FreeSerif"/>
          <w:b/>
          <w:bCs/>
          <w:i w:val="false"/>
          <w:iCs w:val="false"/>
          <w:color w:val="00000A"/>
          <w:lang w:val="en-US"/>
        </w:rPr>
        <w:t>1965</w:t>
      </w:r>
      <w:r>
        <w:rPr>
          <w:rStyle w:val="14"/>
          <w:rFonts w:eastAsia="Times New Roman" w:cs="Times New Roman" w:ascii="FreeSerif" w:hAnsi="FreeSerif"/>
          <w:i w:val="false"/>
          <w:iCs w:val="false"/>
          <w:color w:val="00000A"/>
          <w:lang w:val="en-US"/>
        </w:rPr>
        <w:t xml:space="preserve">, 7 (4), 308–313. </w:t>
      </w:r>
      <w:hyperlink r:id="rId10">
        <w:r>
          <w:rPr>
            <w:rStyle w:val="14"/>
            <w:rFonts w:eastAsia="Times New Roman" w:cs="Times New Roman" w:ascii="FreeSerif" w:hAnsi="FreeSerif"/>
            <w:i w:val="false"/>
            <w:iCs w:val="false"/>
            <w:color w:val="00000A"/>
            <w:lang w:val="en-US"/>
          </w:rPr>
          <w:t>https://doi.org/10.1093/comjnl/7.4.308</w:t>
        </w:r>
      </w:hyperlink>
      <w:r>
        <w:rPr>
          <w:rStyle w:val="14"/>
          <w:rFonts w:eastAsia="Times New Roman" w:cs="Times New Roman" w:ascii="FreeSerif" w:hAnsi="FreeSerif"/>
          <w:i w:val="false"/>
          <w:iCs w:val="false"/>
          <w:color w:val="00000A"/>
          <w:lang w:val="en-US"/>
        </w:rPr>
        <w:t>.</w:t>
      </w:r>
    </w:p>
    <w:p>
      <w:pPr>
        <w:pStyle w:val="TESupportingInformation"/>
        <w:numPr>
          <w:ilvl w:val="0"/>
          <w:numId w:val="2"/>
        </w:numPr>
        <w:rPr/>
      </w:pPr>
      <w:r>
        <w:rPr/>
        <w:t xml:space="preserve">(a) Williams, T.; Kelley, C. Gnuplot 4.5: an interactive plotting program. URL http://gnuplot.info. </w:t>
      </w:r>
      <w:r>
        <w:rPr>
          <w:b w:val="false"/>
          <w:bCs w:val="false"/>
        </w:rPr>
        <w:t>2011,</w:t>
      </w:r>
      <w:r>
        <w:rPr/>
        <w:t xml:space="preserve"> (b) R Core Team. R: A language and environment for statistical computing. R Foundation for Statistical / Computing, Vienna, Austria. URL https://www.R-project.org/, 2017</w:t>
      </w:r>
    </w:p>
    <w:p>
      <w:pPr>
        <w:pStyle w:val="TESupportingInformation"/>
        <w:jc w:val="left"/>
        <w:rPr/>
      </w:pPr>
      <w:r>
        <w:rPr>
          <w:b/>
          <w:bCs/>
        </w:rPr>
        <w:t>Supporting 2s. GC-MS spectra of the decomposition products of diazonium salts studied</w:t>
      </w:r>
    </w:p>
    <w:p>
      <w:pPr>
        <w:pStyle w:val="VAFigureCaption"/>
        <w:jc w:val="left"/>
        <w:rPr/>
      </w:pPr>
      <w:r>
        <w:rPr/>
        <w:drawing>
          <wp:inline distT="0" distB="0" distL="0" distR="0">
            <wp:extent cx="5400040" cy="2520315"/>
            <wp:effectExtent l="0" t="0" r="0" b="0"/>
            <wp:docPr id="7" name="Изображение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Изображение25" descr=""/>
                    <pic:cNvPicPr>
                      <a:picLocks noChangeAspect="1" noChangeArrowheads="1"/>
                    </pic:cNvPicPr>
                  </pic:nvPicPr>
                  <pic:blipFill>
                    <a:blip r:embed="rId11"/>
                    <a:stretch>
                      <a:fillRect/>
                    </a:stretch>
                  </pic:blipFill>
                  <pic:spPr bwMode="auto">
                    <a:xfrm>
                      <a:off x="0" y="0"/>
                      <a:ext cx="5400040" cy="2520315"/>
                    </a:xfrm>
                    <a:prstGeom prst="rect">
                      <a:avLst/>
                    </a:prstGeom>
                  </pic:spPr>
                </pic:pic>
              </a:graphicData>
            </a:graphic>
          </wp:inline>
        </w:drawing>
      </w:r>
    </w:p>
    <w:p>
      <w:pPr>
        <w:pStyle w:val="VAFigureCaption"/>
        <w:jc w:val="left"/>
        <w:rPr/>
      </w:pPr>
      <w:r>
        <w:rPr>
          <w:b/>
          <w:bCs/>
          <w:lang w:val="en-US"/>
        </w:rPr>
        <w:t>Figure 2s.2.</w:t>
      </w:r>
      <w:r>
        <w:rPr>
          <w:lang w:val="en-US"/>
        </w:rPr>
        <w:t xml:space="preserve"> The decomposition products of DS </w:t>
      </w:r>
      <w:r>
        <w:rPr>
          <w:b/>
          <w:lang w:val="en-US"/>
        </w:rPr>
        <w:t>1a</w:t>
      </w:r>
      <w:r>
        <w:rPr>
          <w:lang w:val="en-US"/>
        </w:rPr>
        <w:t xml:space="preserve"> according to GC-MS data. </w:t>
      </w:r>
    </w:p>
    <w:p>
      <w:pPr>
        <w:pStyle w:val="VAFigureCaption"/>
        <w:jc w:val="left"/>
        <w:rPr/>
      </w:pPr>
      <w:r>
        <w:rPr/>
        <w:drawing>
          <wp:inline distT="0" distB="0" distL="0" distR="0">
            <wp:extent cx="5400040" cy="2520315"/>
            <wp:effectExtent l="0" t="0" r="0" b="0"/>
            <wp:docPr id="8" name="Изображение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Изображение26" descr=""/>
                    <pic:cNvPicPr>
                      <a:picLocks noChangeAspect="1" noChangeArrowheads="1"/>
                    </pic:cNvPicPr>
                  </pic:nvPicPr>
                  <pic:blipFill>
                    <a:blip r:embed="rId12"/>
                    <a:stretch>
                      <a:fillRect/>
                    </a:stretch>
                  </pic:blipFill>
                  <pic:spPr bwMode="auto">
                    <a:xfrm>
                      <a:off x="0" y="0"/>
                      <a:ext cx="5400040" cy="2520315"/>
                    </a:xfrm>
                    <a:prstGeom prst="rect">
                      <a:avLst/>
                    </a:prstGeom>
                  </pic:spPr>
                </pic:pic>
              </a:graphicData>
            </a:graphic>
          </wp:inline>
        </w:drawing>
      </w:r>
    </w:p>
    <w:p>
      <w:pPr>
        <w:pStyle w:val="VAFigureCaption"/>
        <w:jc w:val="left"/>
        <w:rPr/>
      </w:pPr>
      <w:r>
        <w:rPr>
          <w:b/>
          <w:bCs/>
          <w:lang w:val="en-US"/>
        </w:rPr>
        <w:t>Figure 2s.2.</w:t>
      </w:r>
      <w:r>
        <w:rPr>
          <w:lang w:val="en-US"/>
        </w:rPr>
        <w:t xml:space="preserve"> The decomposition products of DS </w:t>
      </w:r>
      <w:r>
        <w:rPr>
          <w:b/>
          <w:lang w:val="en-US"/>
        </w:rPr>
        <w:t>1b</w:t>
      </w:r>
      <w:r>
        <w:rPr>
          <w:lang w:val="en-US"/>
        </w:rPr>
        <w:t xml:space="preserve"> according to GC-MS data. (Peak at 9.246 min corresponds to compound 3-NO</w:t>
      </w:r>
      <w:r>
        <w:rPr>
          <w:vertAlign w:val="subscript"/>
          <w:lang w:val="en-US"/>
        </w:rPr>
        <w:t>2</w:t>
      </w:r>
      <w:r>
        <w:rPr>
          <w:lang w:val="en-US"/>
        </w:rPr>
        <w:t>-C</w:t>
      </w:r>
      <w:r>
        <w:rPr>
          <w:vertAlign w:val="subscript"/>
          <w:lang w:val="en-US"/>
        </w:rPr>
        <w:t>6</w:t>
      </w:r>
      <w:r>
        <w:rPr>
          <w:lang w:val="en-US"/>
        </w:rPr>
        <w:t>H</w:t>
      </w:r>
      <w:r>
        <w:rPr>
          <w:vertAlign w:val="subscript"/>
          <w:lang w:val="en-US"/>
        </w:rPr>
        <w:t>4</w:t>
      </w:r>
      <w:r>
        <w:rPr>
          <w:lang w:val="en-US"/>
        </w:rPr>
        <w:t>-OSO</w:t>
      </w:r>
      <w:r>
        <w:rPr>
          <w:vertAlign w:val="subscript"/>
          <w:lang w:val="en-US"/>
        </w:rPr>
        <w:t>2</w:t>
      </w:r>
      <w:r>
        <w:rPr>
          <w:lang w:val="en-US"/>
        </w:rPr>
        <w:t>CF</w:t>
      </w:r>
      <w:r>
        <w:rPr>
          <w:vertAlign w:val="subscript"/>
          <w:lang w:val="en-US"/>
        </w:rPr>
        <w:t>3</w:t>
      </w:r>
      <w:r>
        <w:rPr>
          <w:lang w:val="en-US"/>
        </w:rPr>
        <w:t>, Fig. 21)</w:t>
      </w:r>
    </w:p>
    <w:p>
      <w:pPr>
        <w:pStyle w:val="VAFigureCaption"/>
        <w:jc w:val="left"/>
        <w:rPr/>
      </w:pPr>
      <w:r>
        <w:rPr/>
        <w:drawing>
          <wp:inline distT="0" distB="0" distL="0" distR="0">
            <wp:extent cx="5400040" cy="2520315"/>
            <wp:effectExtent l="0" t="0" r="0" b="0"/>
            <wp:docPr id="9" name="Изображение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Изображение27" descr=""/>
                    <pic:cNvPicPr>
                      <a:picLocks noChangeAspect="1" noChangeArrowheads="1"/>
                    </pic:cNvPicPr>
                  </pic:nvPicPr>
                  <pic:blipFill>
                    <a:blip r:embed="rId13"/>
                    <a:stretch>
                      <a:fillRect/>
                    </a:stretch>
                  </pic:blipFill>
                  <pic:spPr bwMode="auto">
                    <a:xfrm>
                      <a:off x="0" y="0"/>
                      <a:ext cx="5400040" cy="2520315"/>
                    </a:xfrm>
                    <a:prstGeom prst="rect">
                      <a:avLst/>
                    </a:prstGeom>
                  </pic:spPr>
                </pic:pic>
              </a:graphicData>
            </a:graphic>
          </wp:inline>
        </w:drawing>
      </w:r>
    </w:p>
    <w:p>
      <w:pPr>
        <w:pStyle w:val="VAFigureCaption"/>
        <w:jc w:val="left"/>
        <w:rPr/>
      </w:pPr>
      <w:r>
        <w:rPr>
          <w:lang w:val="en-US"/>
        </w:rPr>
        <w:t xml:space="preserve">Figure 2s.3 The decomposition products of DS </w:t>
      </w:r>
      <w:r>
        <w:rPr>
          <w:b/>
          <w:lang w:val="en-US"/>
        </w:rPr>
        <w:t>1c</w:t>
      </w:r>
      <w:r>
        <w:rPr>
          <w:lang w:val="en-US"/>
        </w:rPr>
        <w:t xml:space="preserve"> according to GC-MS data. (Peak at 13.314 min corresponds to compound 4-NO</w:t>
      </w:r>
      <w:r>
        <w:rPr>
          <w:vertAlign w:val="subscript"/>
          <w:lang w:val="en-US"/>
        </w:rPr>
        <w:t>2</w:t>
      </w:r>
      <w:r>
        <w:rPr>
          <w:lang w:val="en-US"/>
        </w:rPr>
        <w:t>-C</w:t>
      </w:r>
      <w:r>
        <w:rPr>
          <w:vertAlign w:val="subscript"/>
          <w:lang w:val="en-US"/>
        </w:rPr>
        <w:t>6</w:t>
      </w:r>
      <w:r>
        <w:rPr>
          <w:lang w:val="en-US"/>
        </w:rPr>
        <w:t>H</w:t>
      </w:r>
      <w:r>
        <w:rPr>
          <w:vertAlign w:val="subscript"/>
          <w:lang w:val="en-US"/>
        </w:rPr>
        <w:t>4</w:t>
      </w:r>
      <w:r>
        <w:rPr>
          <w:lang w:val="en-US"/>
        </w:rPr>
        <w:t>-OSO</w:t>
      </w:r>
      <w:r>
        <w:rPr>
          <w:vertAlign w:val="subscript"/>
          <w:lang w:val="en-US"/>
        </w:rPr>
        <w:t>2</w:t>
      </w:r>
      <w:r>
        <w:rPr>
          <w:lang w:val="en-US"/>
        </w:rPr>
        <w:t>CF</w:t>
      </w:r>
      <w:r>
        <w:rPr>
          <w:vertAlign w:val="subscript"/>
          <w:lang w:val="en-US"/>
        </w:rPr>
        <w:t>3</w:t>
      </w:r>
      <w:r>
        <w:rPr>
          <w:lang w:val="en-US"/>
        </w:rPr>
        <w:t>, peak at 14.912 min corresponds to compound 1-iodo-4-nitrobenzene, Fig. 22)</w:t>
      </w:r>
    </w:p>
    <w:p>
      <w:pPr>
        <w:pStyle w:val="VAFigureCaption"/>
        <w:jc w:val="left"/>
        <w:rPr/>
      </w:pPr>
      <w:r>
        <w:rPr/>
      </w:r>
    </w:p>
    <w:p>
      <w:pPr>
        <w:pStyle w:val="VAFigureCaption"/>
        <w:jc w:val="left"/>
        <w:rPr/>
      </w:pPr>
      <w:r>
        <w:rPr/>
        <w:drawing>
          <wp:inline distT="0" distB="0" distL="0" distR="0">
            <wp:extent cx="5400040" cy="2520315"/>
            <wp:effectExtent l="0" t="0" r="0" b="0"/>
            <wp:docPr id="10" name="Изображение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Изображение28" descr=""/>
                    <pic:cNvPicPr>
                      <a:picLocks noChangeAspect="1" noChangeArrowheads="1"/>
                    </pic:cNvPicPr>
                  </pic:nvPicPr>
                  <pic:blipFill>
                    <a:blip r:embed="rId14"/>
                    <a:stretch>
                      <a:fillRect/>
                    </a:stretch>
                  </pic:blipFill>
                  <pic:spPr bwMode="auto">
                    <a:xfrm>
                      <a:off x="0" y="0"/>
                      <a:ext cx="5400040" cy="2520315"/>
                    </a:xfrm>
                    <a:prstGeom prst="rect">
                      <a:avLst/>
                    </a:prstGeom>
                  </pic:spPr>
                </pic:pic>
              </a:graphicData>
            </a:graphic>
          </wp:inline>
        </w:drawing>
      </w:r>
    </w:p>
    <w:p>
      <w:pPr>
        <w:pStyle w:val="VAFigureCaption"/>
        <w:jc w:val="left"/>
        <w:rPr/>
      </w:pPr>
      <w:r>
        <w:rPr>
          <w:b/>
          <w:bCs/>
          <w:lang w:val="en-US"/>
        </w:rPr>
        <w:t>Figure 2s.4.</w:t>
      </w:r>
      <w:r>
        <w:rPr>
          <w:lang w:val="en-US"/>
        </w:rPr>
        <w:t xml:space="preserve"> The decomposition products of DS </w:t>
      </w:r>
      <w:r>
        <w:rPr>
          <w:b/>
          <w:lang w:val="en-US"/>
        </w:rPr>
        <w:t>1d</w:t>
      </w:r>
      <w:r>
        <w:rPr>
          <w:lang w:val="en-US"/>
        </w:rPr>
        <w:t xml:space="preserve"> according to GC-MS data. (Peak at 8.337 min corresponds to compound 4-CH</w:t>
      </w:r>
      <w:r>
        <w:rPr>
          <w:vertAlign w:val="subscript"/>
          <w:lang w:val="en-US"/>
        </w:rPr>
        <w:t>3</w:t>
      </w:r>
      <w:r>
        <w:rPr/>
        <w:t>О</w:t>
      </w:r>
      <w:r>
        <w:rPr>
          <w:lang w:val="en-US"/>
        </w:rPr>
        <w:t>-C</w:t>
      </w:r>
      <w:r>
        <w:rPr>
          <w:vertAlign w:val="subscript"/>
          <w:lang w:val="en-US"/>
        </w:rPr>
        <w:t>6</w:t>
      </w:r>
      <w:r>
        <w:rPr>
          <w:lang w:val="en-US"/>
        </w:rPr>
        <w:t>H</w:t>
      </w:r>
      <w:r>
        <w:rPr>
          <w:vertAlign w:val="subscript"/>
          <w:lang w:val="en-US"/>
        </w:rPr>
        <w:t>4</w:t>
      </w:r>
      <w:r>
        <w:rPr>
          <w:lang w:val="en-US"/>
        </w:rPr>
        <w:t>-OSO</w:t>
      </w:r>
      <w:r>
        <w:rPr>
          <w:vertAlign w:val="subscript"/>
          <w:lang w:val="en-US"/>
        </w:rPr>
        <w:t>2</w:t>
      </w:r>
      <w:r>
        <w:rPr>
          <w:lang w:val="en-US"/>
        </w:rPr>
        <w:t>CF</w:t>
      </w:r>
      <w:r>
        <w:rPr>
          <w:vertAlign w:val="subscript"/>
          <w:lang w:val="en-US"/>
        </w:rPr>
        <w:t>3</w:t>
      </w:r>
      <w:r>
        <w:rPr>
          <w:lang w:val="en-US"/>
        </w:rPr>
        <w:t>, Fig. 23)</w:t>
      </w:r>
    </w:p>
    <w:p>
      <w:pPr>
        <w:pStyle w:val="VAFigureCaption"/>
        <w:jc w:val="left"/>
        <w:rPr/>
      </w:pPr>
      <w:r>
        <w:rPr/>
        <w:drawing>
          <wp:inline distT="0" distB="0" distL="0" distR="0">
            <wp:extent cx="5400040" cy="2520315"/>
            <wp:effectExtent l="0" t="0" r="0" b="0"/>
            <wp:docPr id="11" name="Изображение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Изображение31" descr=""/>
                    <pic:cNvPicPr>
                      <a:picLocks noChangeAspect="1" noChangeArrowheads="1"/>
                    </pic:cNvPicPr>
                  </pic:nvPicPr>
                  <pic:blipFill>
                    <a:blip r:embed="rId15"/>
                    <a:stretch>
                      <a:fillRect/>
                    </a:stretch>
                  </pic:blipFill>
                  <pic:spPr bwMode="auto">
                    <a:xfrm>
                      <a:off x="0" y="0"/>
                      <a:ext cx="5400040" cy="2520315"/>
                    </a:xfrm>
                    <a:prstGeom prst="rect">
                      <a:avLst/>
                    </a:prstGeom>
                  </pic:spPr>
                </pic:pic>
              </a:graphicData>
            </a:graphic>
          </wp:inline>
        </w:drawing>
      </w:r>
    </w:p>
    <w:p>
      <w:pPr>
        <w:pStyle w:val="VAFigureCaption"/>
        <w:jc w:val="left"/>
        <w:rPr/>
      </w:pPr>
      <w:r>
        <w:rPr>
          <w:b/>
          <w:bCs/>
          <w:lang w:val="en-US"/>
        </w:rPr>
        <w:t>Figure 2s.5</w:t>
      </w:r>
      <w:r>
        <w:rPr>
          <w:lang w:val="en-US"/>
        </w:rPr>
        <w:t xml:space="preserve"> The decomposition products of DS </w:t>
      </w:r>
      <w:r>
        <w:rPr>
          <w:b/>
          <w:lang w:val="en-US"/>
        </w:rPr>
        <w:t>2</w:t>
      </w:r>
      <w:r>
        <w:rPr>
          <w:lang w:val="en-US"/>
        </w:rPr>
        <w:t xml:space="preserve"> according to GC-MS data. (Peak at 6.750 min corresponds to 1-fluoro-4-nitrobenzene, peak at 10.642 min corresponds to 1-iodo-4-nitrobenzene, Fig. 24)</w:t>
      </w:r>
    </w:p>
    <w:p>
      <w:pPr>
        <w:pStyle w:val="VAFigureCaption"/>
        <w:jc w:val="left"/>
        <w:rPr/>
      </w:pPr>
      <w:r>
        <w:rPr/>
        <w:drawing>
          <wp:inline distT="0" distB="0" distL="0" distR="0">
            <wp:extent cx="5400040" cy="2520315"/>
            <wp:effectExtent l="0" t="0" r="0" b="0"/>
            <wp:docPr id="12" name="Изображение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Изображение29" descr=""/>
                    <pic:cNvPicPr>
                      <a:picLocks noChangeAspect="1" noChangeArrowheads="1"/>
                    </pic:cNvPicPr>
                  </pic:nvPicPr>
                  <pic:blipFill>
                    <a:blip r:embed="rId16"/>
                    <a:stretch>
                      <a:fillRect/>
                    </a:stretch>
                  </pic:blipFill>
                  <pic:spPr bwMode="auto">
                    <a:xfrm>
                      <a:off x="0" y="0"/>
                      <a:ext cx="5400040" cy="2520315"/>
                    </a:xfrm>
                    <a:prstGeom prst="rect">
                      <a:avLst/>
                    </a:prstGeom>
                  </pic:spPr>
                </pic:pic>
              </a:graphicData>
            </a:graphic>
          </wp:inline>
        </w:drawing>
      </w:r>
    </w:p>
    <w:p>
      <w:pPr>
        <w:pStyle w:val="VAFigureCaption"/>
        <w:jc w:val="left"/>
        <w:rPr/>
      </w:pPr>
      <w:r>
        <w:rPr>
          <w:b/>
          <w:bCs/>
          <w:lang w:val="en-US"/>
        </w:rPr>
        <w:t>Figure 2s.6</w:t>
      </w:r>
      <w:r>
        <w:rPr>
          <w:lang w:val="en-US"/>
        </w:rPr>
        <w:t xml:space="preserve"> The decomposition products of DS </w:t>
      </w:r>
      <w:r>
        <w:rPr>
          <w:b/>
          <w:lang w:val="en-US"/>
        </w:rPr>
        <w:t>3</w:t>
      </w:r>
      <w:r>
        <w:rPr>
          <w:lang w:val="en-US"/>
        </w:rPr>
        <w:t xml:space="preserve"> according to GC-MS data. (Peak at 6.307 min corresponds to 1-fluoro-4-nitrobenzene, peak at 10.515 min corresponds to 1-iodo-4-nitrobenzene, Fig. 25)</w:t>
      </w:r>
    </w:p>
    <w:p>
      <w:pPr>
        <w:pStyle w:val="VAFigureCaption"/>
        <w:jc w:val="left"/>
        <w:rPr/>
      </w:pPr>
      <w:r>
        <w:rPr/>
        <w:drawing>
          <wp:inline distT="0" distB="0" distL="0" distR="0">
            <wp:extent cx="5400040" cy="2520315"/>
            <wp:effectExtent l="0" t="0" r="0" b="0"/>
            <wp:docPr id="13" name="Изображение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Изображение21" descr=""/>
                    <pic:cNvPicPr>
                      <a:picLocks noChangeAspect="1" noChangeArrowheads="1"/>
                    </pic:cNvPicPr>
                  </pic:nvPicPr>
                  <pic:blipFill>
                    <a:blip r:embed="rId17"/>
                    <a:stretch>
                      <a:fillRect/>
                    </a:stretch>
                  </pic:blipFill>
                  <pic:spPr bwMode="auto">
                    <a:xfrm>
                      <a:off x="0" y="0"/>
                      <a:ext cx="5400040" cy="2520315"/>
                    </a:xfrm>
                    <a:prstGeom prst="rect">
                      <a:avLst/>
                    </a:prstGeom>
                  </pic:spPr>
                </pic:pic>
              </a:graphicData>
            </a:graphic>
          </wp:inline>
        </w:drawing>
      </w:r>
    </w:p>
    <w:p>
      <w:pPr>
        <w:pStyle w:val="VAFigureCaption"/>
        <w:jc w:val="left"/>
        <w:rPr/>
      </w:pPr>
      <w:r>
        <w:rPr>
          <w:b/>
          <w:bCs/>
          <w:lang w:val="en-US"/>
        </w:rPr>
        <w:t>Figure 2s.7.</w:t>
      </w:r>
      <w:r>
        <w:rPr>
          <w:lang w:val="en-US"/>
        </w:rPr>
        <w:t xml:space="preserve"> The major product of decomposition of DS </w:t>
      </w:r>
      <w:r>
        <w:rPr>
          <w:b/>
          <w:lang w:val="en-US"/>
        </w:rPr>
        <w:t>1b</w:t>
      </w:r>
      <w:r>
        <w:rPr>
          <w:lang w:val="en-US"/>
        </w:rPr>
        <w:t xml:space="preserve"> according to GC-MS data. Fragmentation pattern corresponds to 3-NO</w:t>
      </w:r>
      <w:r>
        <w:rPr>
          <w:vertAlign w:val="subscript"/>
          <w:lang w:val="en-US"/>
        </w:rPr>
        <w:t>2</w:t>
      </w:r>
      <w:r>
        <w:rPr>
          <w:lang w:val="en-US"/>
        </w:rPr>
        <w:t>-C</w:t>
      </w:r>
      <w:r>
        <w:rPr>
          <w:vertAlign w:val="subscript"/>
          <w:lang w:val="en-US"/>
        </w:rPr>
        <w:t>6</w:t>
      </w:r>
      <w:r>
        <w:rPr>
          <w:lang w:val="en-US"/>
        </w:rPr>
        <w:t>H</w:t>
      </w:r>
      <w:r>
        <w:rPr>
          <w:vertAlign w:val="subscript"/>
          <w:lang w:val="en-US"/>
        </w:rPr>
        <w:t>4</w:t>
      </w:r>
      <w:r>
        <w:rPr>
          <w:lang w:val="en-US"/>
        </w:rPr>
        <w:t>-OSO</w:t>
      </w:r>
      <w:r>
        <w:rPr>
          <w:vertAlign w:val="subscript"/>
          <w:lang w:val="en-US"/>
        </w:rPr>
        <w:t>2</w:t>
      </w:r>
      <w:r>
        <w:rPr>
          <w:lang w:val="en-US"/>
        </w:rPr>
        <w:t>CF</w:t>
      </w:r>
      <w:r>
        <w:rPr>
          <w:vertAlign w:val="subscript"/>
          <w:lang w:val="en-US"/>
        </w:rPr>
        <w:t>3</w:t>
      </w:r>
      <w:r>
        <w:rPr>
          <w:lang w:val="en-US"/>
        </w:rPr>
        <w:t xml:space="preserve"> M/Z: 271, 161, 95, 92, 69, 64.</w:t>
      </w:r>
    </w:p>
    <w:p>
      <w:pPr>
        <w:pStyle w:val="VAFigureCaption"/>
        <w:jc w:val="left"/>
        <w:rPr/>
      </w:pPr>
      <w:r>
        <w:rPr/>
        <w:drawing>
          <wp:inline distT="0" distB="0" distL="0" distR="0">
            <wp:extent cx="5588635" cy="2574925"/>
            <wp:effectExtent l="0" t="0" r="0" b="0"/>
            <wp:docPr id="14" name="Изображение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Изображение22" descr=""/>
                    <pic:cNvPicPr>
                      <a:picLocks noChangeAspect="1" noChangeArrowheads="1"/>
                    </pic:cNvPicPr>
                  </pic:nvPicPr>
                  <pic:blipFill>
                    <a:blip r:embed="rId18"/>
                    <a:stretch>
                      <a:fillRect/>
                    </a:stretch>
                  </pic:blipFill>
                  <pic:spPr bwMode="auto">
                    <a:xfrm>
                      <a:off x="0" y="0"/>
                      <a:ext cx="5588635" cy="2574925"/>
                    </a:xfrm>
                    <a:prstGeom prst="rect">
                      <a:avLst/>
                    </a:prstGeom>
                  </pic:spPr>
                </pic:pic>
              </a:graphicData>
            </a:graphic>
          </wp:inline>
        </w:drawing>
      </w:r>
    </w:p>
    <w:p>
      <w:pPr>
        <w:pStyle w:val="VAFigureCaption"/>
        <w:jc w:val="left"/>
        <w:rPr/>
      </w:pPr>
      <w:r>
        <w:rPr/>
        <w:drawing>
          <wp:inline distT="0" distB="0" distL="0" distR="0">
            <wp:extent cx="5588635" cy="2434590"/>
            <wp:effectExtent l="0" t="0" r="0" b="0"/>
            <wp:docPr id="15" name="Изображение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Изображение5" descr=""/>
                    <pic:cNvPicPr>
                      <a:picLocks noChangeAspect="1" noChangeArrowheads="1"/>
                    </pic:cNvPicPr>
                  </pic:nvPicPr>
                  <pic:blipFill>
                    <a:blip r:embed="rId19"/>
                    <a:stretch>
                      <a:fillRect/>
                    </a:stretch>
                  </pic:blipFill>
                  <pic:spPr bwMode="auto">
                    <a:xfrm>
                      <a:off x="0" y="0"/>
                      <a:ext cx="5588635" cy="2434590"/>
                    </a:xfrm>
                    <a:prstGeom prst="rect">
                      <a:avLst/>
                    </a:prstGeom>
                  </pic:spPr>
                </pic:pic>
              </a:graphicData>
            </a:graphic>
          </wp:inline>
        </w:drawing>
      </w:r>
    </w:p>
    <w:p>
      <w:pPr>
        <w:pStyle w:val="VAFigureCaption"/>
        <w:jc w:val="left"/>
        <w:rPr/>
      </w:pPr>
      <w:r>
        <w:rPr>
          <w:b/>
          <w:bCs/>
          <w:lang w:val="en-US"/>
        </w:rPr>
        <w:t>Figure 2s.8.</w:t>
      </w:r>
      <w:r>
        <w:rPr>
          <w:lang w:val="en-US"/>
        </w:rPr>
        <w:t xml:space="preserve"> The major products of decomposition of DS </w:t>
      </w:r>
      <w:r>
        <w:rPr>
          <w:b/>
          <w:lang w:val="en-US"/>
        </w:rPr>
        <w:t>1c</w:t>
      </w:r>
      <w:r>
        <w:rPr>
          <w:lang w:val="en-US"/>
        </w:rPr>
        <w:t xml:space="preserve"> according to GC-MS data. Fragmentation patterns correspond to 4-NO</w:t>
      </w:r>
      <w:r>
        <w:rPr>
          <w:vertAlign w:val="subscript"/>
          <w:lang w:val="en-US"/>
        </w:rPr>
        <w:t>2</w:t>
      </w:r>
      <w:r>
        <w:rPr>
          <w:lang w:val="en-US"/>
        </w:rPr>
        <w:t>-C</w:t>
      </w:r>
      <w:r>
        <w:rPr>
          <w:vertAlign w:val="subscript"/>
          <w:lang w:val="en-US"/>
        </w:rPr>
        <w:t>6</w:t>
      </w:r>
      <w:r>
        <w:rPr>
          <w:lang w:val="en-US"/>
        </w:rPr>
        <w:t>H</w:t>
      </w:r>
      <w:r>
        <w:rPr>
          <w:vertAlign w:val="subscript"/>
          <w:lang w:val="en-US"/>
        </w:rPr>
        <w:t>4</w:t>
      </w:r>
      <w:r>
        <w:rPr>
          <w:lang w:val="en-US"/>
        </w:rPr>
        <w:t>-OSO</w:t>
      </w:r>
      <w:r>
        <w:rPr>
          <w:vertAlign w:val="subscript"/>
          <w:lang w:val="en-US"/>
        </w:rPr>
        <w:t>2</w:t>
      </w:r>
      <w:r>
        <w:rPr>
          <w:lang w:val="en-US"/>
        </w:rPr>
        <w:t>CF</w:t>
      </w:r>
      <w:r>
        <w:rPr>
          <w:vertAlign w:val="subscript"/>
          <w:lang w:val="en-US"/>
        </w:rPr>
        <w:t>3</w:t>
      </w:r>
      <w:r>
        <w:rPr>
          <w:lang w:val="en-US"/>
        </w:rPr>
        <w:t xml:space="preserve"> M/Z: 271, 177, 95, 69 and 1-iodo-4-nitrobenzene M/Z: 249, 203, 76.</w:t>
      </w:r>
    </w:p>
    <w:p>
      <w:pPr>
        <w:pStyle w:val="VAFigureCaption"/>
        <w:jc w:val="left"/>
        <w:rPr/>
      </w:pPr>
      <w:r>
        <w:rPr/>
        <w:drawing>
          <wp:inline distT="0" distB="0" distL="0" distR="0">
            <wp:extent cx="5400040" cy="2520315"/>
            <wp:effectExtent l="0" t="0" r="0" b="0"/>
            <wp:docPr id="16" name="Изображение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Изображение23" descr=""/>
                    <pic:cNvPicPr>
                      <a:picLocks noChangeAspect="1" noChangeArrowheads="1"/>
                    </pic:cNvPicPr>
                  </pic:nvPicPr>
                  <pic:blipFill>
                    <a:blip r:embed="rId20"/>
                    <a:stretch>
                      <a:fillRect/>
                    </a:stretch>
                  </pic:blipFill>
                  <pic:spPr bwMode="auto">
                    <a:xfrm>
                      <a:off x="0" y="0"/>
                      <a:ext cx="5400040" cy="2520315"/>
                    </a:xfrm>
                    <a:prstGeom prst="rect">
                      <a:avLst/>
                    </a:prstGeom>
                  </pic:spPr>
                </pic:pic>
              </a:graphicData>
            </a:graphic>
          </wp:inline>
        </w:drawing>
      </w:r>
    </w:p>
    <w:p>
      <w:pPr>
        <w:pStyle w:val="VAFigureCaption"/>
        <w:jc w:val="left"/>
        <w:rPr>
          <w:b w:val="false"/>
          <w:b w:val="false"/>
          <w:bCs w:val="false"/>
        </w:rPr>
      </w:pPr>
      <w:r>
        <w:rPr>
          <w:b/>
          <w:bCs/>
          <w:lang w:val="en-US"/>
        </w:rPr>
        <w:t>Figure 2s.9.</w:t>
      </w:r>
      <w:r>
        <w:rPr>
          <w:b w:val="false"/>
          <w:bCs w:val="false"/>
          <w:lang w:val="en-US"/>
        </w:rPr>
        <w:t xml:space="preserve"> The major product of decomposition of DS 1d according to GC-MS data. Fragmentation pattern corresponds to 3-CH</w:t>
      </w:r>
      <w:r>
        <w:rPr>
          <w:b w:val="false"/>
          <w:bCs w:val="false"/>
          <w:vertAlign w:val="subscript"/>
          <w:lang w:val="en-US"/>
        </w:rPr>
        <w:t>3</w:t>
      </w:r>
      <w:r>
        <w:rPr>
          <w:b w:val="false"/>
          <w:bCs w:val="false"/>
          <w:lang w:val="en-US"/>
        </w:rPr>
        <w:t>O-C</w:t>
      </w:r>
      <w:r>
        <w:rPr>
          <w:b w:val="false"/>
          <w:bCs w:val="false"/>
          <w:vertAlign w:val="subscript"/>
          <w:lang w:val="en-US"/>
        </w:rPr>
        <w:t>6</w:t>
      </w:r>
      <w:r>
        <w:rPr>
          <w:b w:val="false"/>
          <w:bCs w:val="false"/>
          <w:lang w:val="en-US"/>
        </w:rPr>
        <w:t>H</w:t>
      </w:r>
      <w:r>
        <w:rPr>
          <w:b w:val="false"/>
          <w:bCs w:val="false"/>
          <w:vertAlign w:val="subscript"/>
          <w:lang w:val="en-US"/>
        </w:rPr>
        <w:t>4</w:t>
      </w:r>
      <w:r>
        <w:rPr>
          <w:b w:val="false"/>
          <w:bCs w:val="false"/>
          <w:lang w:val="en-US"/>
        </w:rPr>
        <w:t>-OSO</w:t>
      </w:r>
      <w:r>
        <w:rPr>
          <w:b w:val="false"/>
          <w:bCs w:val="false"/>
          <w:vertAlign w:val="subscript"/>
          <w:lang w:val="en-US"/>
        </w:rPr>
        <w:t>2</w:t>
      </w:r>
      <w:r>
        <w:rPr>
          <w:b w:val="false"/>
          <w:bCs w:val="false"/>
          <w:lang w:val="en-US"/>
        </w:rPr>
        <w:t>CF</w:t>
      </w:r>
      <w:r>
        <w:rPr>
          <w:b w:val="false"/>
          <w:bCs w:val="false"/>
          <w:vertAlign w:val="subscript"/>
          <w:lang w:val="en-US"/>
        </w:rPr>
        <w:t>3</w:t>
      </w:r>
      <w:r>
        <w:rPr>
          <w:b w:val="false"/>
          <w:bCs w:val="false"/>
          <w:lang w:val="en-US"/>
        </w:rPr>
        <w:t xml:space="preserve"> M/Z: 256, 123, 69, 52.</w:t>
      </w:r>
    </w:p>
    <w:p>
      <w:pPr>
        <w:pStyle w:val="VAFigureCaption"/>
        <w:jc w:val="left"/>
        <w:rPr/>
      </w:pPr>
      <w:r>
        <w:rPr/>
        <w:drawing>
          <wp:inline distT="0" distB="0" distL="0" distR="0">
            <wp:extent cx="5400040" cy="2520315"/>
            <wp:effectExtent l="0" t="0" r="0" b="0"/>
            <wp:docPr id="17" name="Изображение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Изображение13" descr=""/>
                    <pic:cNvPicPr>
                      <a:picLocks noChangeAspect="1" noChangeArrowheads="1"/>
                    </pic:cNvPicPr>
                  </pic:nvPicPr>
                  <pic:blipFill>
                    <a:blip r:embed="rId21"/>
                    <a:stretch>
                      <a:fillRect/>
                    </a:stretch>
                  </pic:blipFill>
                  <pic:spPr bwMode="auto">
                    <a:xfrm>
                      <a:off x="0" y="0"/>
                      <a:ext cx="5400040" cy="2520315"/>
                    </a:xfrm>
                    <a:prstGeom prst="rect">
                      <a:avLst/>
                    </a:prstGeom>
                  </pic:spPr>
                </pic:pic>
              </a:graphicData>
            </a:graphic>
          </wp:inline>
        </w:drawing>
      </w:r>
    </w:p>
    <w:p>
      <w:pPr>
        <w:pStyle w:val="VAFigureCaption"/>
        <w:jc w:val="left"/>
        <w:rPr/>
      </w:pPr>
      <w:r>
        <w:rPr/>
        <w:drawing>
          <wp:inline distT="0" distB="0" distL="0" distR="0">
            <wp:extent cx="5400040" cy="2520315"/>
            <wp:effectExtent l="0" t="0" r="0" b="0"/>
            <wp:docPr id="18" name="Изображение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Изображение15" descr=""/>
                    <pic:cNvPicPr>
                      <a:picLocks noChangeAspect="1" noChangeArrowheads="1"/>
                    </pic:cNvPicPr>
                  </pic:nvPicPr>
                  <pic:blipFill>
                    <a:blip r:embed="rId22"/>
                    <a:stretch>
                      <a:fillRect/>
                    </a:stretch>
                  </pic:blipFill>
                  <pic:spPr bwMode="auto">
                    <a:xfrm>
                      <a:off x="0" y="0"/>
                      <a:ext cx="5400040" cy="2520315"/>
                    </a:xfrm>
                    <a:prstGeom prst="rect">
                      <a:avLst/>
                    </a:prstGeom>
                  </pic:spPr>
                </pic:pic>
              </a:graphicData>
            </a:graphic>
          </wp:inline>
        </w:drawing>
      </w:r>
    </w:p>
    <w:p>
      <w:pPr>
        <w:pStyle w:val="VAFigureCaption"/>
        <w:jc w:val="left"/>
        <w:rPr>
          <w:b/>
          <w:b/>
          <w:bCs/>
        </w:rPr>
      </w:pPr>
      <w:r>
        <w:rPr>
          <w:b/>
          <w:bCs/>
          <w:lang w:val="en-US"/>
        </w:rPr>
        <w:t xml:space="preserve">Figure 2s.10. </w:t>
      </w:r>
      <w:r>
        <w:rPr>
          <w:b w:val="false"/>
          <w:bCs w:val="false"/>
          <w:lang w:val="en-US"/>
        </w:rPr>
        <w:t>The major products of decomposition of DS 2 according to GC-MS data. Fragmentation patterns correspond to nitrobenzene M/Z: 123, 77, 51 and 1-iodo-4-nitrobenzene M/Z: 249, 203, 76, 50.</w:t>
      </w:r>
    </w:p>
    <w:p>
      <w:pPr>
        <w:pStyle w:val="VAFigureCaption"/>
        <w:jc w:val="left"/>
        <w:rPr/>
      </w:pPr>
      <w:r>
        <w:rPr/>
        <w:drawing>
          <wp:inline distT="0" distB="0" distL="0" distR="0">
            <wp:extent cx="5400040" cy="2520315"/>
            <wp:effectExtent l="0" t="0" r="0" b="0"/>
            <wp:docPr id="19" name="Изображение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Изображение2" descr=""/>
                    <pic:cNvPicPr>
                      <a:picLocks noChangeAspect="1" noChangeArrowheads="1"/>
                    </pic:cNvPicPr>
                  </pic:nvPicPr>
                  <pic:blipFill>
                    <a:blip r:embed="rId23"/>
                    <a:stretch>
                      <a:fillRect/>
                    </a:stretch>
                  </pic:blipFill>
                  <pic:spPr bwMode="auto">
                    <a:xfrm>
                      <a:off x="0" y="0"/>
                      <a:ext cx="5400040" cy="2520315"/>
                    </a:xfrm>
                    <a:prstGeom prst="rect">
                      <a:avLst/>
                    </a:prstGeom>
                  </pic:spPr>
                </pic:pic>
              </a:graphicData>
            </a:graphic>
          </wp:inline>
        </w:drawing>
      </w:r>
    </w:p>
    <w:p>
      <w:pPr>
        <w:pStyle w:val="VAFigureCaption"/>
        <w:jc w:val="left"/>
        <w:rPr/>
      </w:pPr>
      <w:r>
        <w:rPr/>
        <w:drawing>
          <wp:inline distT="0" distB="0" distL="0" distR="0">
            <wp:extent cx="5400040" cy="2520315"/>
            <wp:effectExtent l="0" t="0" r="0" b="0"/>
            <wp:docPr id="20" name="Изображение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Изображение3" descr=""/>
                    <pic:cNvPicPr>
                      <a:picLocks noChangeAspect="1" noChangeArrowheads="1"/>
                    </pic:cNvPicPr>
                  </pic:nvPicPr>
                  <pic:blipFill>
                    <a:blip r:embed="rId24"/>
                    <a:stretch>
                      <a:fillRect/>
                    </a:stretch>
                  </pic:blipFill>
                  <pic:spPr bwMode="auto">
                    <a:xfrm>
                      <a:off x="0" y="0"/>
                      <a:ext cx="5400040" cy="2520315"/>
                    </a:xfrm>
                    <a:prstGeom prst="rect">
                      <a:avLst/>
                    </a:prstGeom>
                  </pic:spPr>
                </pic:pic>
              </a:graphicData>
            </a:graphic>
          </wp:inline>
        </w:drawing>
      </w:r>
    </w:p>
    <w:p>
      <w:pPr>
        <w:pStyle w:val="VAFigureCaption"/>
        <w:jc w:val="left"/>
        <w:rPr/>
      </w:pPr>
      <w:r>
        <w:rPr>
          <w:b/>
          <w:bCs/>
          <w:lang w:val="en-US"/>
        </w:rPr>
        <w:t>Figure 2s.11.</w:t>
      </w:r>
      <w:r>
        <w:rPr>
          <w:lang w:val="en-US"/>
        </w:rPr>
        <w:t xml:space="preserve"> The major products of decomposition of DS </w:t>
      </w:r>
      <w:r>
        <w:rPr>
          <w:b/>
          <w:lang w:val="en-US"/>
        </w:rPr>
        <w:t>3</w:t>
      </w:r>
      <w:r>
        <w:rPr>
          <w:lang w:val="en-US"/>
        </w:rPr>
        <w:t xml:space="preserve"> according to GC-MS data. Fragmentation patterns correspond to 1-fluoro-2-nitrobenzene M/Z: 141, 111, 95, 75, 50 and 1-iodo-4-nitrobenzene M/Z: 249, 203, 76.</w:t>
      </w:r>
    </w:p>
    <w:p>
      <w:pPr>
        <w:pStyle w:val="VAFigureCaption"/>
        <w:jc w:val="left"/>
        <w:rPr/>
      </w:pPr>
      <w:r>
        <w:rPr/>
      </w:r>
    </w:p>
    <w:p>
      <w:pPr>
        <w:pStyle w:val="TESupportingInformation"/>
        <w:rPr>
          <w:b/>
          <w:b/>
          <w:bCs/>
        </w:rPr>
      </w:pPr>
      <w:r>
        <w:rPr>
          <w:b/>
          <w:bCs/>
        </w:rPr>
        <w:t>Supporting 3s. LS-MS spectra of the decomposition products of diazonium salts studied</w:t>
      </w:r>
    </w:p>
    <w:p>
      <w:pPr>
        <w:pStyle w:val="TESupportingInformation"/>
        <w:rPr>
          <w:lang w:val="en-US"/>
        </w:rPr>
      </w:pPr>
      <w:r>
        <w:rPr>
          <w:lang w:val="en-US"/>
        </w:rPr>
      </w:r>
    </w:p>
    <w:p>
      <w:pPr>
        <w:pStyle w:val="TESupportingInformation"/>
        <w:rPr/>
      </w:pPr>
      <w:r>
        <w:rPr>
          <w:b/>
          <w:bCs/>
        </w:rPr>
        <w:t>Supporting 4s. Results of quantum-chemical calculations</w:t>
      </w:r>
    </w:p>
    <w:p>
      <w:pPr>
        <w:pStyle w:val="TESupportingInformation"/>
        <w:rPr>
          <w:lang w:val="en-US"/>
        </w:rPr>
      </w:pPr>
      <w:r>
        <w:rPr>
          <w:lang w:val="en-US"/>
        </w:rPr>
      </w:r>
    </w:p>
    <w:p>
      <w:pPr>
        <w:pStyle w:val="TESupportingInformation"/>
        <w:spacing w:lineRule="auto" w:line="480" w:before="0" w:after="200"/>
        <w:ind w:left="0" w:right="0" w:firstLine="187"/>
        <w:rPr/>
      </w:pPr>
      <w:r>
        <w:rPr/>
      </w:r>
    </w:p>
    <w:sectPr>
      <w:footerReference w:type="default" r:id="rId25"/>
      <w:type w:val="nextPage"/>
      <w:pgSz w:w="12240" w:h="15840"/>
      <w:pgMar w:left="1440" w:right="1440" w:header="0" w:top="1440" w:footer="0" w:bottom="1440" w:gutter="0"/>
      <w:pgNumType w:fmt="decimal"/>
      <w:formProt w:val="false"/>
      <w:textDirection w:val="lrTb"/>
      <w:docGrid w:type="default" w:linePitch="326"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New York">
    <w:charset w:val="01"/>
    <w:family w:val="roman"/>
    <w:pitch w:val="variable"/>
  </w:font>
  <w:font w:name="Times">
    <w:altName w:val="Times New Roman"/>
    <w:charset w:val="01"/>
    <w:family w:val="roman"/>
    <w:pitch w:val="variable"/>
  </w:font>
  <w:font w:name="Times New Roman">
    <w:charset w:val="01"/>
    <w:family w:val="swiss"/>
    <w:pitch w:val="variable"/>
  </w:font>
  <w:font w:name="Arno Pro">
    <w:charset w:val="01"/>
    <w:family w:val="roman"/>
    <w:pitch w:val="variable"/>
  </w:font>
  <w:font w:name="Times New Roman">
    <w:charset w:val="01"/>
    <w:family w:val="roman"/>
    <w:pitch w:val="variable"/>
  </w:font>
  <w:font w:name="Tahoma">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Symbol">
    <w:charset w:val="01"/>
    <w:family w:val="roman"/>
    <w:pitch w:val="variable"/>
  </w:font>
  <w:font w:name="FreeSerif">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Style28"/>
      <w:spacing w:before="0" w:after="200"/>
      <w:ind w:left="0" w:right="360" w:hanging="0"/>
      <w:rPr/>
    </w:pPr>
    <w:r>
      <w:rPr/>
      <mc:AlternateContent>
        <mc:Choice Requires="wps">
          <w:drawing>
            <wp:anchor behindDoc="1" distT="0" distB="0" distL="0" distR="0" simplePos="0" locked="0" layoutInCell="1" allowOverlap="1" relativeHeight="37">
              <wp:simplePos x="0" y="0"/>
              <wp:positionH relativeFrom="margin">
                <wp:align>right</wp:align>
              </wp:positionH>
              <wp:positionV relativeFrom="paragraph">
                <wp:posOffset>635</wp:posOffset>
              </wp:positionV>
              <wp:extent cx="156210" cy="203200"/>
              <wp:effectExtent l="0" t="0" r="0" b="0"/>
              <wp:wrapSquare wrapText="largest"/>
              <wp:docPr id="21" name="Врезка1"/>
              <a:graphic xmlns:a="http://schemas.openxmlformats.org/drawingml/2006/main">
                <a:graphicData uri="http://schemas.microsoft.com/office/word/2010/wordprocessingShape">
                  <wps:wsp>
                    <wps:cNvSpPr/>
                    <wps:spPr>
                      <a:xfrm>
                        <a:off x="0" y="0"/>
                        <a:ext cx="155520" cy="202680"/>
                      </a:xfrm>
                      <a:prstGeom prst="rect">
                        <a:avLst/>
                      </a:prstGeom>
                      <a:noFill/>
                      <a:ln>
                        <a:noFill/>
                      </a:ln>
                    </wps:spPr>
                    <wps:style>
                      <a:lnRef idx="0"/>
                      <a:fillRef idx="0"/>
                      <a:effectRef idx="0"/>
                      <a:fontRef idx="minor"/>
                    </wps:style>
                    <wps:txbx>
                      <w:txbxContent>
                        <w:p>
                          <w:pPr>
                            <w:pStyle w:val="Style28"/>
                            <w:spacing w:before="0" w:after="200"/>
                            <w:rPr>
                              <w:color w:val="000000"/>
                            </w:rPr>
                          </w:pPr>
                          <w:r>
                            <w:rPr>
                              <w:color w:val="000000"/>
                            </w:rPr>
                            <w:fldChar w:fldCharType="begin"/>
                          </w:r>
                          <w:r>
                            <w:instrText> PAGE </w:instrText>
                          </w:r>
                          <w:r>
                            <w:fldChar w:fldCharType="separate"/>
                          </w:r>
                          <w:r>
                            <w:t>16</w:t>
                          </w:r>
                          <w:r>
                            <w:fldChar w:fldCharType="end"/>
                          </w:r>
                        </w:p>
                      </w:txbxContent>
                    </wps:txbx>
                    <wps:bodyPr lIns="0" rIns="0" tIns="0" bIns="0">
                      <a:spAutoFit/>
                    </wps:bodyPr>
                  </wps:wsp>
                </a:graphicData>
              </a:graphic>
            </wp:anchor>
          </w:drawing>
        </mc:Choice>
        <mc:Fallback>
          <w:pict>
            <v:rect id="shape_0" ID="Врезка1" stroked="f" style="position:absolute;margin-left:455.7pt;margin-top:0.05pt;width:12.2pt;height:15.9pt;mso-position-horizontal:right;mso-position-horizontal-relative:margin">
              <w10:wrap type="square"/>
              <v:fill o:detectmouseclick="t" on="false"/>
              <v:stroke color="#3465a4" joinstyle="round" endcap="flat"/>
              <v:textbox>
                <w:txbxContent>
                  <w:p>
                    <w:pPr>
                      <w:pStyle w:val="Style28"/>
                      <w:spacing w:before="0" w:after="200"/>
                      <w:rPr>
                        <w:color w:val="000000"/>
                      </w:rPr>
                    </w:pPr>
                    <w:r>
                      <w:rPr>
                        <w:color w:val="000000"/>
                      </w:rPr>
                      <w:fldChar w:fldCharType="begin"/>
                    </w:r>
                    <w:r>
                      <w:instrText> PAGE </w:instrText>
                    </w:r>
                    <w:r>
                      <w:fldChar w:fldCharType="separate"/>
                    </w:r>
                    <w:r>
                      <w:t>16</w:t>
                    </w:r>
                    <w:r>
                      <w:fldChar w:fldCharType="end"/>
                    </w:r>
                  </w:p>
                </w:txbxContent>
              </v:textbox>
            </v:rect>
          </w:pict>
        </mc:Fallback>
      </mc:AlternateContent>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1"/>
      <w:numFmt w:val="none"/>
      <w:suff w:val="nothing"/>
      <w:lvlText w:val=""/>
      <w:lvlJc w:val="left"/>
      <w:pPr>
        <w:ind w:left="0" w:hanging="0"/>
      </w:pPr>
    </w:lvl>
    <w:lvl w:ilvl="1">
      <w:start w:val="1"/>
      <w:pStyle w:val="2"/>
      <w:numFmt w:val="none"/>
      <w:suff w:val="nothing"/>
      <w:lvlText w:val=""/>
      <w:lvlJc w:val="left"/>
      <w:pPr>
        <w:ind w:left="0" w:hanging="576"/>
      </w:pPr>
    </w:lvl>
    <w:lvl w:ilvl="2">
      <w:start w:val="1"/>
      <w:pStyle w:val="3"/>
      <w:numFmt w:val="none"/>
      <w:suff w:val="nothing"/>
      <w:lvlText w:val=""/>
      <w:lvlJc w:val="left"/>
      <w:pPr>
        <w:ind w:left="0" w:hanging="72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1"/>
  </w:num>
  <w:num w:numId="2">
    <w:abstractNumId w:val="2"/>
  </w:num>
</w:numbering>
</file>

<file path=word/settings.xml><?xml version="1.0" encoding="utf-8"?>
<w:settings xmlns:w="http://schemas.openxmlformats.org/wordprocessingml/2006/main">
  <w:zoom w:percent="110"/>
  <w:defaultTabStop w:val="720"/>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New York" w:hAnsi="New York" w:eastAsia="Times New Roman" w:cs="Times New Roman"/>
        <w:sz w:val="20"/>
        <w:lang w:val="en-US" w:eastAsia="en-US" w:bidi="ar-SA"/>
      </w:rPr>
    </w:rPrDefault>
    <w:pPrDefault>
      <w:pPr/>
    </w:pPrDefault>
  </w:docDefaults>
  <w:style w:type="paragraph" w:styleId="Normal">
    <w:name w:val="Normal"/>
    <w:qFormat/>
    <w:pPr>
      <w:widowControl/>
      <w:overflowPunct w:val="true"/>
      <w:bidi w:val="0"/>
      <w:spacing w:before="0" w:after="200"/>
      <w:jc w:val="both"/>
    </w:pPr>
    <w:rPr>
      <w:rFonts w:ascii="Times" w:hAnsi="Times" w:eastAsia="Times New Roman" w:cs="Times New Roman"/>
      <w:color w:val="00000A"/>
      <w:sz w:val="24"/>
      <w:szCs w:val="20"/>
      <w:lang w:val="en-US" w:eastAsia="en-US" w:bidi="ar-SA"/>
    </w:rPr>
  </w:style>
  <w:style w:type="paragraph" w:styleId="1">
    <w:name w:val="Heading 1"/>
    <w:basedOn w:val="Style27"/>
    <w:qFormat/>
    <w:pPr>
      <w:widowControl w:val="false"/>
      <w:numPr>
        <w:ilvl w:val="0"/>
        <w:numId w:val="1"/>
      </w:numPr>
      <w:spacing w:before="170" w:after="113"/>
      <w:jc w:val="left"/>
      <w:outlineLvl w:val="0"/>
      <w:outlineLvl w:val="0"/>
    </w:pPr>
    <w:rPr>
      <w:rFonts w:ascii="Times New Roman" w:hAnsi="Times New Roman" w:eastAsia="Times New Roman" w:cs="Times New Roman"/>
      <w:b/>
      <w:caps/>
      <w:color w:val="669900"/>
      <w:sz w:val="24"/>
      <w:szCs w:val="36"/>
      <w:lang w:eastAsia="ru-RU" w:bidi="ar-SA"/>
    </w:rPr>
  </w:style>
  <w:style w:type="paragraph" w:styleId="2">
    <w:name w:val="Heading 2"/>
    <w:basedOn w:val="Style27"/>
    <w:qFormat/>
    <w:pPr>
      <w:widowControl w:val="false"/>
      <w:numPr>
        <w:ilvl w:val="1"/>
        <w:numId w:val="1"/>
      </w:numPr>
      <w:spacing w:before="113" w:after="57"/>
      <w:ind w:left="0" w:right="0" w:firstLine="397"/>
      <w:jc w:val="left"/>
      <w:outlineLvl w:val="1"/>
      <w:outlineLvl w:val="1"/>
    </w:pPr>
    <w:rPr>
      <w:rFonts w:ascii="Times New Roman" w:hAnsi="Times New Roman" w:eastAsia="Times New Roman" w:cs="Times New Roman"/>
      <w:b/>
      <w:sz w:val="24"/>
      <w:szCs w:val="32"/>
      <w:lang w:eastAsia="ru-RU" w:bidi="ar-SA"/>
    </w:rPr>
  </w:style>
  <w:style w:type="paragraph" w:styleId="3">
    <w:name w:val="Heading 3"/>
    <w:basedOn w:val="Style27"/>
    <w:qFormat/>
    <w:pPr>
      <w:widowControl w:val="false"/>
      <w:numPr>
        <w:ilvl w:val="2"/>
        <w:numId w:val="1"/>
      </w:numPr>
      <w:spacing w:before="142" w:after="0"/>
      <w:ind w:left="0" w:right="0" w:firstLine="567"/>
      <w:jc w:val="left"/>
      <w:outlineLvl w:val="2"/>
      <w:outlineLvl w:val="2"/>
    </w:pPr>
    <w:rPr>
      <w:rFonts w:ascii="Times New Roman" w:hAnsi="Times New Roman" w:eastAsia="Times New Roman" w:cs="Times New Roman"/>
      <w:b/>
      <w:bCs/>
      <w:sz w:val="24"/>
      <w:szCs w:val="20"/>
      <w:lang w:eastAsia="ru-RU" w:bidi="ar-SA"/>
    </w:rPr>
  </w:style>
  <w:style w:type="character" w:styleId="DefaultParagraphFont">
    <w:name w:val="Default Paragraph Font"/>
    <w:qFormat/>
    <w:rPr/>
  </w:style>
  <w:style w:type="character" w:styleId="FollowedHyperlink">
    <w:name w:val="FollowedHyperlink"/>
    <w:qFormat/>
    <w:rPr>
      <w:color w:val="800080"/>
      <w:u w:val="single"/>
    </w:rPr>
  </w:style>
  <w:style w:type="character" w:styleId="Style11">
    <w:name w:val="Интернет-ссылка"/>
    <w:rPr>
      <w:color w:val="000080"/>
      <w:u w:val="single"/>
    </w:rPr>
  </w:style>
  <w:style w:type="character" w:styleId="Pagenumber">
    <w:name w:val="page number"/>
    <w:basedOn w:val="DefaultParagraphFont"/>
    <w:qFormat/>
    <w:rPr/>
  </w:style>
  <w:style w:type="character" w:styleId="StyleFACorrespondingAuthorFootnote7ptChar">
    <w:name w:val="Style FA_Corresponding_Author_Footnote + 7 pt Char"/>
    <w:qFormat/>
    <w:rPr>
      <w:rFonts w:ascii="Arno Pro" w:hAnsi="Arno Pro"/>
      <w:sz w:val="18"/>
    </w:rPr>
  </w:style>
  <w:style w:type="character" w:styleId="FAAuthorInfoSubtitleChar">
    <w:name w:val="FA_Author_Info_Subtitle Char"/>
    <w:qFormat/>
    <w:rPr>
      <w:rFonts w:ascii="Times" w:hAnsi="Times"/>
      <w:b/>
      <w:sz w:val="24"/>
    </w:rPr>
  </w:style>
  <w:style w:type="character" w:styleId="WW8Num1z7">
    <w:name w:val="WW8Num1z7"/>
    <w:qFormat/>
    <w:rPr/>
  </w:style>
  <w:style w:type="character" w:styleId="11">
    <w:name w:val="Заголовок 1 Знак"/>
    <w:basedOn w:val="DefaultParagraphFont"/>
    <w:qFormat/>
    <w:rPr>
      <w:rFonts w:ascii="Times New Roman" w:hAnsi="Times New Roman"/>
      <w:b/>
      <w:caps/>
      <w:color w:val="669900"/>
      <w:sz w:val="24"/>
      <w:szCs w:val="36"/>
      <w:lang w:val="ru-RU" w:eastAsia="ru-RU"/>
    </w:rPr>
  </w:style>
  <w:style w:type="character" w:styleId="21">
    <w:name w:val="Заголовок 2 Знак"/>
    <w:basedOn w:val="DefaultParagraphFont"/>
    <w:qFormat/>
    <w:rPr>
      <w:rFonts w:ascii="Times New Roman" w:hAnsi="Times New Roman"/>
      <w:b/>
      <w:color w:val="00000A"/>
      <w:sz w:val="24"/>
      <w:szCs w:val="32"/>
      <w:lang w:val="ru-RU" w:eastAsia="ru-RU"/>
    </w:rPr>
  </w:style>
  <w:style w:type="character" w:styleId="31">
    <w:name w:val="Заголовок 3 Знак"/>
    <w:basedOn w:val="DefaultParagraphFont"/>
    <w:qFormat/>
    <w:rPr>
      <w:rFonts w:ascii="Times New Roman" w:hAnsi="Times New Roman"/>
      <w:b/>
      <w:bCs/>
      <w:color w:val="00000A"/>
      <w:sz w:val="24"/>
      <w:lang w:val="ru-RU" w:eastAsia="ru-RU"/>
    </w:rPr>
  </w:style>
  <w:style w:type="character" w:styleId="WW8Num1z0">
    <w:name w:val="WW8Num1z0"/>
    <w:qFormat/>
    <w:rPr/>
  </w:style>
  <w:style w:type="character" w:styleId="WW8Num1z1">
    <w:name w:val="WW8Num1z1"/>
    <w:qFormat/>
    <w:rPr/>
  </w:style>
  <w:style w:type="character" w:styleId="WW8Num1z2">
    <w:name w:val="WW8Num1z2"/>
    <w:qFormat/>
    <w:rPr/>
  </w:style>
  <w:style w:type="character" w:styleId="WW8Num1z3">
    <w:name w:val="WW8Num1z3"/>
    <w:qFormat/>
    <w:rPr/>
  </w:style>
  <w:style w:type="character" w:styleId="WW8Num1z4">
    <w:name w:val="WW8Num1z4"/>
    <w:qFormat/>
    <w:rPr/>
  </w:style>
  <w:style w:type="character" w:styleId="WW8Num1z5">
    <w:name w:val="WW8Num1z5"/>
    <w:qFormat/>
    <w:rPr/>
  </w:style>
  <w:style w:type="character" w:styleId="WW8Num1z6">
    <w:name w:val="WW8Num1z6"/>
    <w:qFormat/>
    <w:rPr/>
  </w:style>
  <w:style w:type="character" w:styleId="WW8Num1z8">
    <w:name w:val="WW8Num1z8"/>
    <w:qFormat/>
    <w:rPr/>
  </w:style>
  <w:style w:type="character" w:styleId="WW8Num2z0">
    <w:name w:val="WW8Num2z0"/>
    <w:qFormat/>
    <w:rPr/>
  </w:style>
  <w:style w:type="character" w:styleId="WW8Num2z1">
    <w:name w:val="WW8Num2z1"/>
    <w:qFormat/>
    <w:rPr/>
  </w:style>
  <w:style w:type="character" w:styleId="WW8Num2z2">
    <w:name w:val="WW8Num2z2"/>
    <w:qFormat/>
    <w:rPr/>
  </w:style>
  <w:style w:type="character" w:styleId="WW8Num2z3">
    <w:name w:val="WW8Num2z3"/>
    <w:qFormat/>
    <w:rPr/>
  </w:style>
  <w:style w:type="character" w:styleId="WW8Num2z4">
    <w:name w:val="WW8Num2z4"/>
    <w:qFormat/>
    <w:rPr/>
  </w:style>
  <w:style w:type="character" w:styleId="WW8Num2z5">
    <w:name w:val="WW8Num2z5"/>
    <w:qFormat/>
    <w:rPr/>
  </w:style>
  <w:style w:type="character" w:styleId="WW8Num2z6">
    <w:name w:val="WW8Num2z6"/>
    <w:qFormat/>
    <w:rPr/>
  </w:style>
  <w:style w:type="character" w:styleId="WW8Num2z7">
    <w:name w:val="WW8Num2z7"/>
    <w:qFormat/>
    <w:rPr/>
  </w:style>
  <w:style w:type="character" w:styleId="WW8Num2z8">
    <w:name w:val="WW8Num2z8"/>
    <w:qFormat/>
    <w:rPr/>
  </w:style>
  <w:style w:type="character" w:styleId="WW8Num3z0">
    <w:name w:val="WW8Num3z0"/>
    <w:qFormat/>
    <w:rPr/>
  </w:style>
  <w:style w:type="character" w:styleId="WW8Num3z1">
    <w:name w:val="WW8Num3z1"/>
    <w:qFormat/>
    <w:rPr/>
  </w:style>
  <w:style w:type="character" w:styleId="WW8Num3z2">
    <w:name w:val="WW8Num3z2"/>
    <w:qFormat/>
    <w:rPr/>
  </w:style>
  <w:style w:type="character" w:styleId="WW8Num3z3">
    <w:name w:val="WW8Num3z3"/>
    <w:qFormat/>
    <w:rPr/>
  </w:style>
  <w:style w:type="character" w:styleId="WW8Num3z4">
    <w:name w:val="WW8Num3z4"/>
    <w:qFormat/>
    <w:rPr/>
  </w:style>
  <w:style w:type="character" w:styleId="WW8Num3z5">
    <w:name w:val="WW8Num3z5"/>
    <w:qFormat/>
    <w:rPr/>
  </w:style>
  <w:style w:type="character" w:styleId="WW8Num3z6">
    <w:name w:val="WW8Num3z6"/>
    <w:qFormat/>
    <w:rPr/>
  </w:style>
  <w:style w:type="character" w:styleId="WW8Num3z7">
    <w:name w:val="WW8Num3z7"/>
    <w:qFormat/>
    <w:rPr/>
  </w:style>
  <w:style w:type="character" w:styleId="WW8Num3z8">
    <w:name w:val="WW8Num3z8"/>
    <w:qFormat/>
    <w:rPr/>
  </w:style>
  <w:style w:type="character" w:styleId="12">
    <w:name w:val="Основной шрифт абзаца1"/>
    <w:qFormat/>
    <w:rPr/>
  </w:style>
  <w:style w:type="character" w:styleId="Style12">
    <w:name w:val="Символ нумерации"/>
    <w:qFormat/>
    <w:rPr/>
  </w:style>
  <w:style w:type="character" w:styleId="Style13">
    <w:name w:val="Текст выноски Знак"/>
    <w:qFormat/>
    <w:rPr>
      <w:rFonts w:ascii="Tahoma" w:hAnsi="Tahoma" w:eastAsia="Tahoma"/>
      <w:sz w:val="16"/>
    </w:rPr>
  </w:style>
  <w:style w:type="character" w:styleId="22">
    <w:name w:val="Основной шрифт абзаца2"/>
    <w:qFormat/>
    <w:rPr/>
  </w:style>
  <w:style w:type="character" w:styleId="13">
    <w:name w:val="Текст выноски Знак1"/>
    <w:basedOn w:val="DefaultParagraphFont"/>
    <w:qFormat/>
    <w:rPr>
      <w:rFonts w:ascii="Tahoma" w:hAnsi="Tahoma" w:eastAsia="Noto Sans CJK SC Regular" w:cs="Mangal"/>
      <w:sz w:val="16"/>
      <w:szCs w:val="14"/>
      <w:lang w:eastAsia="zh-CN" w:bidi="hi-IN"/>
    </w:rPr>
  </w:style>
  <w:style w:type="character" w:styleId="Annotationreference">
    <w:name w:val="annotation reference"/>
    <w:qFormat/>
    <w:rPr>
      <w:sz w:val="16"/>
    </w:rPr>
  </w:style>
  <w:style w:type="character" w:styleId="Style14">
    <w:name w:val="Текст примечания Знак"/>
    <w:qFormat/>
    <w:rPr>
      <w:rFonts w:ascii="Liberation Serif" w:hAnsi="Liberation Serif" w:eastAsia="Mangal"/>
      <w:sz w:val="18"/>
      <w:lang w:eastAsia="hi-IN"/>
    </w:rPr>
  </w:style>
  <w:style w:type="character" w:styleId="Style15">
    <w:name w:val="Тема примечания Знак"/>
    <w:qFormat/>
    <w:rPr>
      <w:rFonts w:ascii="Liberation Serif" w:hAnsi="Liberation Serif" w:eastAsia="Mangal"/>
      <w:b/>
      <w:sz w:val="18"/>
      <w:lang w:eastAsia="hi-IN"/>
    </w:rPr>
  </w:style>
  <w:style w:type="character" w:styleId="Style16">
    <w:name w:val="Посещённая гиперссылка"/>
    <w:rPr>
      <w:color w:val="800000"/>
      <w:u w:val="single"/>
    </w:rPr>
  </w:style>
  <w:style w:type="character" w:styleId="Style17">
    <w:name w:val="Маркеры списка"/>
    <w:qFormat/>
    <w:rPr>
      <w:rFonts w:ascii="OpenSymbol" w:hAnsi="OpenSymbol" w:eastAsia="OpenSymbol" w:cs="OpenSymbol"/>
    </w:rPr>
  </w:style>
  <w:style w:type="character" w:styleId="ListLabel1">
    <w:name w:val="ListLabel 1"/>
    <w:qFormat/>
    <w:rPr>
      <w:rFonts w:cs="Wingdings"/>
    </w:rPr>
  </w:style>
  <w:style w:type="character" w:styleId="ListLabel2">
    <w:name w:val="ListLabel 2"/>
    <w:qFormat/>
    <w:rPr>
      <w:rFonts w:cs="OpenSymbol"/>
    </w:rPr>
  </w:style>
  <w:style w:type="character" w:styleId="ListLabel3">
    <w:name w:val="ListLabel 3"/>
    <w:qFormat/>
    <w:rPr>
      <w:rFonts w:cs="OpenSymbol"/>
    </w:rPr>
  </w:style>
  <w:style w:type="character" w:styleId="ListLabel4">
    <w:name w:val="ListLabel 4"/>
    <w:qFormat/>
    <w:rPr>
      <w:rFonts w:cs="OpenSymbol"/>
    </w:rPr>
  </w:style>
  <w:style w:type="character" w:styleId="ListLabel5">
    <w:name w:val="ListLabel 5"/>
    <w:qFormat/>
    <w:rPr>
      <w:rFonts w:cs="OpenSymbol"/>
    </w:rPr>
  </w:style>
  <w:style w:type="character" w:styleId="ListLabel6">
    <w:name w:val="ListLabel 6"/>
    <w:qFormat/>
    <w:rPr>
      <w:rFonts w:cs="OpenSymbol"/>
    </w:rPr>
  </w:style>
  <w:style w:type="character" w:styleId="ListLabel7">
    <w:name w:val="ListLabel 7"/>
    <w:qFormat/>
    <w:rPr>
      <w:rFonts w:cs="OpenSymbol"/>
    </w:rPr>
  </w:style>
  <w:style w:type="character" w:styleId="ListLabel8">
    <w:name w:val="ListLabel 8"/>
    <w:qFormat/>
    <w:rPr>
      <w:rFonts w:cs="OpenSymbol"/>
    </w:rPr>
  </w:style>
  <w:style w:type="character" w:styleId="ListLabel9">
    <w:name w:val="ListLabel 9"/>
    <w:qFormat/>
    <w:rPr>
      <w:rFonts w:cs="OpenSymbol"/>
    </w:rPr>
  </w:style>
  <w:style w:type="character" w:styleId="14">
    <w:name w:val="Цитата1"/>
    <w:qFormat/>
    <w:rPr>
      <w:i/>
      <w:iCs/>
    </w:rPr>
  </w:style>
  <w:style w:type="character" w:styleId="ListLabel10">
    <w:name w:val="ListLabel 10"/>
    <w:qFormat/>
    <w:rPr>
      <w:rFonts w:cs="Wingdings"/>
    </w:rPr>
  </w:style>
  <w:style w:type="character" w:styleId="ListLabel11">
    <w:name w:val="ListLabel 11"/>
    <w:qFormat/>
    <w:rPr>
      <w:rFonts w:cs="OpenSymbol"/>
    </w:rPr>
  </w:style>
  <w:style w:type="character" w:styleId="ListLabel12">
    <w:name w:val="ListLabel 12"/>
    <w:qFormat/>
    <w:rPr>
      <w:rFonts w:cs="OpenSymbol"/>
    </w:rPr>
  </w:style>
  <w:style w:type="character" w:styleId="ListLabel13">
    <w:name w:val="ListLabel 13"/>
    <w:qFormat/>
    <w:rPr>
      <w:rFonts w:cs="OpenSymbol"/>
    </w:rPr>
  </w:style>
  <w:style w:type="character" w:styleId="ListLabel14">
    <w:name w:val="ListLabel 14"/>
    <w:qFormat/>
    <w:rPr>
      <w:rFonts w:cs="OpenSymbol"/>
    </w:rPr>
  </w:style>
  <w:style w:type="character" w:styleId="ListLabel15">
    <w:name w:val="ListLabel 15"/>
    <w:qFormat/>
    <w:rPr>
      <w:rFonts w:cs="OpenSymbol"/>
    </w:rPr>
  </w:style>
  <w:style w:type="character" w:styleId="ListLabel16">
    <w:name w:val="ListLabel 16"/>
    <w:qFormat/>
    <w:rPr>
      <w:rFonts w:cs="OpenSymbol"/>
    </w:rPr>
  </w:style>
  <w:style w:type="character" w:styleId="ListLabel17">
    <w:name w:val="ListLabel 17"/>
    <w:qFormat/>
    <w:rPr>
      <w:rFonts w:cs="OpenSymbol"/>
    </w:rPr>
  </w:style>
  <w:style w:type="character" w:styleId="ListLabel18">
    <w:name w:val="ListLabel 18"/>
    <w:qFormat/>
    <w:rPr>
      <w:rFonts w:cs="OpenSymbol"/>
    </w:rPr>
  </w:style>
  <w:style w:type="character" w:styleId="ListLabel19">
    <w:name w:val="ListLabel 19"/>
    <w:qFormat/>
    <w:rPr>
      <w:rFonts w:cs="Wingdings"/>
    </w:rPr>
  </w:style>
  <w:style w:type="character" w:styleId="ListLabel20">
    <w:name w:val="ListLabel 20"/>
    <w:qFormat/>
    <w:rPr>
      <w:rFonts w:cs="OpenSymbol"/>
    </w:rPr>
  </w:style>
  <w:style w:type="character" w:styleId="ListLabel21">
    <w:name w:val="ListLabel 21"/>
    <w:qFormat/>
    <w:rPr>
      <w:rFonts w:cs="OpenSymbol"/>
    </w:rPr>
  </w:style>
  <w:style w:type="character" w:styleId="ListLabel22">
    <w:name w:val="ListLabel 22"/>
    <w:qFormat/>
    <w:rPr>
      <w:rFonts w:cs="OpenSymbol"/>
    </w:rPr>
  </w:style>
  <w:style w:type="character" w:styleId="ListLabel23">
    <w:name w:val="ListLabel 23"/>
    <w:qFormat/>
    <w:rPr>
      <w:rFonts w:cs="OpenSymbol"/>
    </w:rPr>
  </w:style>
  <w:style w:type="character" w:styleId="ListLabel24">
    <w:name w:val="ListLabel 24"/>
    <w:qFormat/>
    <w:rPr>
      <w:rFonts w:cs="OpenSymbol"/>
    </w:rPr>
  </w:style>
  <w:style w:type="character" w:styleId="ListLabel25">
    <w:name w:val="ListLabel 25"/>
    <w:qFormat/>
    <w:rPr>
      <w:rFonts w:cs="OpenSymbol"/>
    </w:rPr>
  </w:style>
  <w:style w:type="character" w:styleId="ListLabel26">
    <w:name w:val="ListLabel 26"/>
    <w:qFormat/>
    <w:rPr>
      <w:rFonts w:cs="OpenSymbol"/>
    </w:rPr>
  </w:style>
  <w:style w:type="character" w:styleId="ListLabel27">
    <w:name w:val="ListLabel 27"/>
    <w:qFormat/>
    <w:rPr>
      <w:rFonts w:cs="OpenSymbol"/>
    </w:rPr>
  </w:style>
  <w:style w:type="character" w:styleId="Style18">
    <w:name w:val="Верхний колонтитул Знак"/>
    <w:basedOn w:val="DefaultParagraphFont"/>
    <w:qFormat/>
    <w:rPr>
      <w:rFonts w:ascii="Liberation Serif" w:hAnsi="Liberation Serif" w:eastAsia="Noto Sans CJK SC Regular" w:cs="Mangal"/>
      <w:color w:val="00000A"/>
      <w:sz w:val="24"/>
      <w:szCs w:val="21"/>
      <w:lang w:eastAsia="zh-CN" w:bidi="hi-IN"/>
    </w:rPr>
  </w:style>
  <w:style w:type="character" w:styleId="ListLabel28">
    <w:name w:val="ListLabel 28"/>
    <w:qFormat/>
    <w:rPr>
      <w:rFonts w:cs="Wingdings"/>
    </w:rPr>
  </w:style>
  <w:style w:type="character" w:styleId="ListLabel29">
    <w:name w:val="ListLabel 29"/>
    <w:qFormat/>
    <w:rPr>
      <w:rFonts w:cs="OpenSymbol"/>
    </w:rPr>
  </w:style>
  <w:style w:type="character" w:styleId="ListLabel30">
    <w:name w:val="ListLabel 30"/>
    <w:qFormat/>
    <w:rPr>
      <w:rFonts w:cs="OpenSymbol"/>
    </w:rPr>
  </w:style>
  <w:style w:type="character" w:styleId="ListLabel31">
    <w:name w:val="ListLabel 31"/>
    <w:qFormat/>
    <w:rPr>
      <w:rFonts w:cs="OpenSymbol"/>
    </w:rPr>
  </w:style>
  <w:style w:type="character" w:styleId="ListLabel32">
    <w:name w:val="ListLabel 32"/>
    <w:qFormat/>
    <w:rPr>
      <w:rFonts w:cs="OpenSymbol"/>
    </w:rPr>
  </w:style>
  <w:style w:type="character" w:styleId="ListLabel33">
    <w:name w:val="ListLabel 33"/>
    <w:qFormat/>
    <w:rPr>
      <w:rFonts w:cs="OpenSymbol"/>
    </w:rPr>
  </w:style>
  <w:style w:type="character" w:styleId="ListLabel34">
    <w:name w:val="ListLabel 34"/>
    <w:qFormat/>
    <w:rPr>
      <w:rFonts w:cs="OpenSymbol"/>
    </w:rPr>
  </w:style>
  <w:style w:type="character" w:styleId="ListLabel35">
    <w:name w:val="ListLabel 35"/>
    <w:qFormat/>
    <w:rPr>
      <w:rFonts w:cs="OpenSymbol"/>
    </w:rPr>
  </w:style>
  <w:style w:type="character" w:styleId="ListLabel36">
    <w:name w:val="ListLabel 36"/>
    <w:qFormat/>
    <w:rPr>
      <w:rFonts w:cs="OpenSymbol"/>
    </w:rPr>
  </w:style>
  <w:style w:type="character" w:styleId="Style19">
    <w:name w:val="Название Знак"/>
    <w:basedOn w:val="DefaultParagraphFont"/>
    <w:qFormat/>
    <w:rPr>
      <w:rFonts w:ascii="Liberation Sans" w:hAnsi="Liberation Sans" w:eastAsia="Noto Sans CJK SC Regular" w:cs="FreeSans"/>
      <w:color w:val="00000A"/>
      <w:sz w:val="28"/>
      <w:szCs w:val="28"/>
      <w:lang w:val="ru-RU" w:eastAsia="zh-CN" w:bidi="hi-IN"/>
    </w:rPr>
  </w:style>
  <w:style w:type="character" w:styleId="Style20">
    <w:name w:val="Подзаголовок Знак"/>
    <w:basedOn w:val="DefaultParagraphFont"/>
    <w:qFormat/>
    <w:rPr>
      <w:rFonts w:ascii="Liberation Sans" w:hAnsi="Liberation Sans" w:eastAsia="Noto Sans CJK SC Regular" w:cs="FreeSans"/>
      <w:color w:val="00000A"/>
      <w:sz w:val="28"/>
      <w:szCs w:val="28"/>
      <w:lang w:val="ru-RU" w:eastAsia="zh-CN" w:bidi="hi-IN"/>
    </w:rPr>
  </w:style>
  <w:style w:type="character" w:styleId="15">
    <w:name w:val="Текст примечания Знак1"/>
    <w:basedOn w:val="DefaultParagraphFont"/>
    <w:qFormat/>
    <w:rPr>
      <w:rFonts w:ascii="Liberation Serif" w:hAnsi="Liberation Serif" w:eastAsia="FreeSans" w:cs="FreeSans"/>
      <w:color w:val="00000A"/>
      <w:szCs w:val="24"/>
      <w:lang w:val="ru-RU" w:eastAsia="hi-IN" w:bidi="hi-IN"/>
    </w:rPr>
  </w:style>
  <w:style w:type="character" w:styleId="16">
    <w:name w:val="Тема примечания Знак1"/>
    <w:basedOn w:val="15"/>
    <w:qFormat/>
    <w:rPr>
      <w:rFonts w:eastAsia="0" w:cs="Liberation Serif"/>
      <w:b/>
      <w:color w:val="000000"/>
      <w:sz w:val="24"/>
      <w:lang w:eastAsia="ar-SA"/>
    </w:rPr>
  </w:style>
  <w:style w:type="character" w:styleId="17">
    <w:name w:val="Верхний колонтитул Знак1"/>
    <w:basedOn w:val="DefaultParagraphFont"/>
    <w:qFormat/>
    <w:rPr>
      <w:rFonts w:ascii="Liberation Serif" w:hAnsi="Liberation Serif" w:eastAsia="Noto Sans CJK SC Regular" w:cs="Mangal"/>
      <w:color w:val="00000A"/>
      <w:sz w:val="24"/>
      <w:szCs w:val="21"/>
      <w:lang w:val="ru-RU" w:eastAsia="zh-CN" w:bidi="hi-IN"/>
    </w:rPr>
  </w:style>
  <w:style w:type="character" w:styleId="Style21">
    <w:name w:val="Основной текст Знак"/>
    <w:basedOn w:val="DefaultParagraphFont"/>
    <w:qFormat/>
    <w:rPr>
      <w:rFonts w:ascii="Times" w:hAnsi="Times"/>
      <w:b/>
      <w:sz w:val="40"/>
    </w:rPr>
  </w:style>
  <w:style w:type="character" w:styleId="ListLabel37">
    <w:name w:val="ListLabel 37"/>
    <w:qFormat/>
    <w:rPr>
      <w:rFonts w:eastAsia="Times New Roman" w:cs="Times"/>
    </w:rPr>
  </w:style>
  <w:style w:type="character" w:styleId="ListLabel38">
    <w:name w:val="ListLabel 38"/>
    <w:qFormat/>
    <w:rPr>
      <w:rFonts w:cs="Courier New"/>
    </w:rPr>
  </w:style>
  <w:style w:type="character" w:styleId="ListLabel39">
    <w:name w:val="ListLabel 39"/>
    <w:qFormat/>
    <w:rPr>
      <w:rFonts w:cs="Courier New"/>
    </w:rPr>
  </w:style>
  <w:style w:type="character" w:styleId="ListLabel40">
    <w:name w:val="ListLabel 40"/>
    <w:qFormat/>
    <w:rPr>
      <w:rFonts w:cs="Courier New"/>
    </w:rPr>
  </w:style>
  <w:style w:type="character" w:styleId="ListLabel41">
    <w:name w:val="ListLabel 41"/>
    <w:qFormat/>
    <w:rPr>
      <w:rFonts w:eastAsia="Times New Roman" w:cs="Times"/>
    </w:rPr>
  </w:style>
  <w:style w:type="character" w:styleId="ListLabel42">
    <w:name w:val="ListLabel 42"/>
    <w:qFormat/>
    <w:rPr>
      <w:rFonts w:eastAsia="Times New Roman" w:cs="Times"/>
    </w:rPr>
  </w:style>
  <w:style w:type="paragraph" w:styleId="Style22">
    <w:name w:val="Заголовок"/>
    <w:basedOn w:val="Normal"/>
    <w:next w:val="Style23"/>
    <w:qFormat/>
    <w:pPr>
      <w:keepNext/>
      <w:spacing w:before="240" w:after="120"/>
    </w:pPr>
    <w:rPr>
      <w:rFonts w:ascii="Liberation Sans" w:hAnsi="Liberation Sans" w:eastAsia="Noto Sans CJK SC Regular" w:cs="FreeSans"/>
      <w:sz w:val="28"/>
      <w:szCs w:val="28"/>
    </w:rPr>
  </w:style>
  <w:style w:type="paragraph" w:styleId="Style23">
    <w:name w:val="Body Text"/>
    <w:basedOn w:val="Normal"/>
    <w:pPr>
      <w:jc w:val="center"/>
    </w:pPr>
    <w:rPr>
      <w:b/>
      <w:sz w:val="40"/>
    </w:rPr>
  </w:style>
  <w:style w:type="paragraph" w:styleId="Style24">
    <w:name w:val="List"/>
    <w:basedOn w:val="Style23"/>
    <w:pPr>
      <w:suppressAutoHyphens w:val="true"/>
      <w:spacing w:lineRule="auto" w:line="288" w:before="0" w:after="140"/>
      <w:ind w:left="0" w:right="0" w:firstLine="397"/>
      <w:jc w:val="both"/>
    </w:pPr>
    <w:rPr>
      <w:rFonts w:ascii="Liberation Serif" w:hAnsi="Liberation Serif" w:eastAsia="Noto Sans CJK SC Regular" w:cs="FreeSans"/>
      <w:b w:val="false"/>
      <w:color w:val="00000A"/>
      <w:sz w:val="24"/>
      <w:szCs w:val="24"/>
      <w:lang w:val="ru-RU" w:eastAsia="zh-CN" w:bidi="hi-IN"/>
    </w:rPr>
  </w:style>
  <w:style w:type="paragraph" w:styleId="Style25">
    <w:name w:val="Caption"/>
    <w:basedOn w:val="Normal"/>
    <w:qFormat/>
    <w:pPr>
      <w:suppressLineNumbers/>
      <w:spacing w:before="120" w:after="120"/>
    </w:pPr>
    <w:rPr>
      <w:rFonts w:cs="FreeSans"/>
      <w:i/>
      <w:iCs/>
      <w:sz w:val="24"/>
      <w:szCs w:val="24"/>
    </w:rPr>
  </w:style>
  <w:style w:type="paragraph" w:styleId="Style26">
    <w:name w:val="Указатель"/>
    <w:basedOn w:val="Normal"/>
    <w:qFormat/>
    <w:pPr>
      <w:suppressLineNumbers/>
    </w:pPr>
    <w:rPr>
      <w:rFonts w:cs="FreeSans"/>
    </w:rPr>
  </w:style>
  <w:style w:type="paragraph" w:styleId="Style27">
    <w:name w:val="Title"/>
    <w:basedOn w:val="Style22"/>
    <w:qFormat/>
    <w:pPr>
      <w:widowControl w:val="false"/>
      <w:bidi w:val="0"/>
      <w:jc w:val="left"/>
    </w:pPr>
    <w:rPr>
      <w:rFonts w:ascii="New York" w:hAnsi="New York" w:eastAsia="Times New Roman" w:cs="Times New Roman"/>
      <w:color w:val="00000A"/>
      <w:sz w:val="24"/>
      <w:szCs w:val="20"/>
      <w:lang w:val="en-US" w:eastAsia="en-US" w:bidi="ar-SA"/>
    </w:rPr>
  </w:style>
  <w:style w:type="paragraph" w:styleId="Footnotetext">
    <w:name w:val="footnote text"/>
    <w:basedOn w:val="Normal"/>
    <w:qFormat/>
    <w:pPr/>
    <w:rPr/>
  </w:style>
  <w:style w:type="paragraph" w:styleId="TFReferencesSection">
    <w:name w:val="TF_References_Section"/>
    <w:basedOn w:val="Normal"/>
    <w:qFormat/>
    <w:pPr>
      <w:spacing w:lineRule="auto" w:line="480"/>
      <w:ind w:left="0" w:right="0" w:firstLine="187"/>
    </w:pPr>
    <w:rPr/>
  </w:style>
  <w:style w:type="paragraph" w:styleId="TAMainText">
    <w:name w:val="TA_Main_Text"/>
    <w:basedOn w:val="Normal"/>
    <w:qFormat/>
    <w:pPr>
      <w:spacing w:lineRule="auto" w:line="480" w:before="0" w:after="0"/>
      <w:ind w:left="0" w:right="0" w:firstLine="202"/>
    </w:pPr>
    <w:rPr/>
  </w:style>
  <w:style w:type="paragraph" w:styleId="BATitle">
    <w:name w:val="BA_Title"/>
    <w:basedOn w:val="Normal"/>
    <w:qFormat/>
    <w:pPr>
      <w:spacing w:lineRule="auto" w:line="480" w:before="720" w:after="360"/>
      <w:jc w:val="center"/>
    </w:pPr>
    <w:rPr>
      <w:rFonts w:ascii="Times New Roman" w:hAnsi="Times New Roman"/>
      <w:sz w:val="44"/>
    </w:rPr>
  </w:style>
  <w:style w:type="paragraph" w:styleId="BBAuthorName">
    <w:name w:val="BB_Author_Name"/>
    <w:basedOn w:val="Normal"/>
    <w:qFormat/>
    <w:pPr>
      <w:spacing w:lineRule="auto" w:line="480" w:before="0" w:after="240"/>
      <w:jc w:val="center"/>
    </w:pPr>
    <w:rPr>
      <w:i/>
    </w:rPr>
  </w:style>
  <w:style w:type="paragraph" w:styleId="BCAuthorAddress">
    <w:name w:val="BC_Author_Address"/>
    <w:basedOn w:val="Normal"/>
    <w:qFormat/>
    <w:pPr>
      <w:spacing w:lineRule="auto" w:line="480" w:before="0" w:after="240"/>
      <w:jc w:val="center"/>
    </w:pPr>
    <w:rPr/>
  </w:style>
  <w:style w:type="paragraph" w:styleId="BIEmailAddress">
    <w:name w:val="BI_Email_Address"/>
    <w:basedOn w:val="Normal"/>
    <w:qFormat/>
    <w:pPr>
      <w:spacing w:lineRule="auto" w:line="480"/>
    </w:pPr>
    <w:rPr/>
  </w:style>
  <w:style w:type="paragraph" w:styleId="AIReceivedDate">
    <w:name w:val="AI_Received_Date"/>
    <w:basedOn w:val="Normal"/>
    <w:qFormat/>
    <w:pPr>
      <w:spacing w:lineRule="auto" w:line="480" w:before="0" w:after="240"/>
    </w:pPr>
    <w:rPr>
      <w:b/>
    </w:rPr>
  </w:style>
  <w:style w:type="paragraph" w:styleId="BDAbstract">
    <w:name w:val="BD_Abstract"/>
    <w:basedOn w:val="Normal"/>
    <w:qFormat/>
    <w:pPr>
      <w:spacing w:lineRule="auto" w:line="480" w:before="360" w:after="360"/>
    </w:pPr>
    <w:rPr/>
  </w:style>
  <w:style w:type="paragraph" w:styleId="TDAcknowledgments">
    <w:name w:val="TD_Acknowledgments"/>
    <w:basedOn w:val="Normal"/>
    <w:qFormat/>
    <w:pPr>
      <w:spacing w:lineRule="auto" w:line="480" w:before="200" w:after="200"/>
      <w:ind w:left="0" w:right="0" w:firstLine="202"/>
    </w:pPr>
    <w:rPr/>
  </w:style>
  <w:style w:type="paragraph" w:styleId="TESupportingInformation">
    <w:name w:val="TE_Supporting_Information"/>
    <w:basedOn w:val="Normal"/>
    <w:qFormat/>
    <w:pPr>
      <w:spacing w:lineRule="auto" w:line="480"/>
      <w:ind w:left="0" w:right="0" w:firstLine="187"/>
    </w:pPr>
    <w:rPr/>
  </w:style>
  <w:style w:type="paragraph" w:styleId="VCSchemeTitle">
    <w:name w:val="VC_Scheme_Title"/>
    <w:basedOn w:val="Normal"/>
    <w:qFormat/>
    <w:pPr>
      <w:spacing w:lineRule="auto" w:line="480"/>
    </w:pPr>
    <w:rPr/>
  </w:style>
  <w:style w:type="paragraph" w:styleId="VDTableTitle">
    <w:name w:val="VD_Table_Title"/>
    <w:basedOn w:val="Normal"/>
    <w:qFormat/>
    <w:pPr>
      <w:spacing w:lineRule="auto" w:line="480"/>
    </w:pPr>
    <w:rPr/>
  </w:style>
  <w:style w:type="paragraph" w:styleId="VAFigureCaption">
    <w:name w:val="VA_Figure_Caption"/>
    <w:basedOn w:val="Normal"/>
    <w:qFormat/>
    <w:pPr>
      <w:spacing w:lineRule="auto" w:line="480"/>
    </w:pPr>
    <w:rPr/>
  </w:style>
  <w:style w:type="paragraph" w:styleId="VBChartTitle">
    <w:name w:val="VB_Chart_Title"/>
    <w:basedOn w:val="Normal"/>
    <w:qFormat/>
    <w:pPr>
      <w:spacing w:lineRule="auto" w:line="480"/>
    </w:pPr>
    <w:rPr/>
  </w:style>
  <w:style w:type="paragraph" w:styleId="FETableFootnote">
    <w:name w:val="FE_Table_Footnote"/>
    <w:basedOn w:val="Normal"/>
    <w:qFormat/>
    <w:pPr>
      <w:ind w:left="0" w:right="0" w:firstLine="187"/>
    </w:pPr>
    <w:rPr/>
  </w:style>
  <w:style w:type="paragraph" w:styleId="FCChartFootnote">
    <w:name w:val="FC_Chart_Footnote"/>
    <w:basedOn w:val="Normal"/>
    <w:qFormat/>
    <w:pPr>
      <w:ind w:left="0" w:right="0" w:firstLine="187"/>
    </w:pPr>
    <w:rPr/>
  </w:style>
  <w:style w:type="paragraph" w:styleId="FDSchemeFootnote">
    <w:name w:val="FD_Scheme_Footnote"/>
    <w:basedOn w:val="Normal"/>
    <w:qFormat/>
    <w:pPr>
      <w:ind w:left="0" w:right="0" w:firstLine="187"/>
    </w:pPr>
    <w:rPr/>
  </w:style>
  <w:style w:type="paragraph" w:styleId="TCTableBody">
    <w:name w:val="TC_Table_Body"/>
    <w:basedOn w:val="Normal"/>
    <w:qFormat/>
    <w:pPr/>
    <w:rPr/>
  </w:style>
  <w:style w:type="paragraph" w:styleId="AFTitleRunningHead">
    <w:name w:val="AF_Title_Running_Head"/>
    <w:basedOn w:val="Normal"/>
    <w:qFormat/>
    <w:pPr>
      <w:spacing w:lineRule="auto" w:line="480"/>
    </w:pPr>
    <w:rPr/>
  </w:style>
  <w:style w:type="paragraph" w:styleId="BEAuthorBiography">
    <w:name w:val="BE_Author_Biography"/>
    <w:basedOn w:val="Normal"/>
    <w:qFormat/>
    <w:pPr>
      <w:spacing w:lineRule="auto" w:line="480"/>
    </w:pPr>
    <w:rPr/>
  </w:style>
  <w:style w:type="paragraph" w:styleId="FACorrespondingAuthorFootnote">
    <w:name w:val="FA_Corresponding_Author_Footnote"/>
    <w:basedOn w:val="Normal"/>
    <w:qFormat/>
    <w:pPr>
      <w:spacing w:lineRule="auto" w:line="480"/>
    </w:pPr>
    <w:rPr/>
  </w:style>
  <w:style w:type="paragraph" w:styleId="SNSynopsisTOC">
    <w:name w:val="SN_Synopsis_TOC"/>
    <w:basedOn w:val="Normal"/>
    <w:qFormat/>
    <w:pPr>
      <w:spacing w:lineRule="auto" w:line="480"/>
    </w:pPr>
    <w:rPr/>
  </w:style>
  <w:style w:type="paragraph" w:styleId="Style28">
    <w:name w:val="Footer"/>
    <w:basedOn w:val="Normal"/>
    <w:pPr>
      <w:tabs>
        <w:tab w:val="center" w:pos="4320" w:leader="none"/>
        <w:tab w:val="right" w:pos="8640" w:leader="none"/>
      </w:tabs>
    </w:pPr>
    <w:rPr/>
  </w:style>
  <w:style w:type="paragraph" w:styleId="BGKeywords">
    <w:name w:val="BG_Keywords"/>
    <w:basedOn w:val="Normal"/>
    <w:qFormat/>
    <w:pPr>
      <w:spacing w:lineRule="auto" w:line="480"/>
    </w:pPr>
    <w:rPr/>
  </w:style>
  <w:style w:type="paragraph" w:styleId="BHBriefs">
    <w:name w:val="BH_Briefs"/>
    <w:basedOn w:val="Normal"/>
    <w:qFormat/>
    <w:pPr>
      <w:spacing w:lineRule="auto" w:line="480"/>
    </w:pPr>
    <w:rPr/>
  </w:style>
  <w:style w:type="paragraph" w:styleId="BalloonText">
    <w:name w:val="Balloon Text"/>
    <w:basedOn w:val="Normal"/>
    <w:qFormat/>
    <w:pPr/>
    <w:rPr>
      <w:rFonts w:ascii="Tahoma" w:hAnsi="Tahoma" w:cs="Tahoma"/>
      <w:sz w:val="16"/>
      <w:szCs w:val="16"/>
    </w:rPr>
  </w:style>
  <w:style w:type="paragraph" w:styleId="StyleFACorrespondingAuthorFootnote7pt">
    <w:name w:val="Style FA_Corresponding_Author_Footnote + 7 pt"/>
    <w:basedOn w:val="Normal"/>
    <w:autoRedefine/>
    <w:qFormat/>
    <w:pPr>
      <w:spacing w:before="0" w:after="0"/>
      <w:jc w:val="left"/>
    </w:pPr>
    <w:rPr>
      <w:rFonts w:ascii="Arno Pro" w:hAnsi="Arno Pro"/>
      <w:sz w:val="18"/>
    </w:rPr>
  </w:style>
  <w:style w:type="paragraph" w:styleId="FAAuthorInfoSubtitle">
    <w:name w:val="FA_Author_Info_Subtitle"/>
    <w:basedOn w:val="Normal"/>
    <w:autoRedefine/>
    <w:qFormat/>
    <w:pPr>
      <w:spacing w:lineRule="auto" w:line="480" w:before="120" w:after="60"/>
      <w:jc w:val="left"/>
    </w:pPr>
    <w:rPr>
      <w:b/>
    </w:rPr>
  </w:style>
  <w:style w:type="paragraph" w:styleId="Default">
    <w:name w:val="Default"/>
    <w:qFormat/>
    <w:pPr>
      <w:widowControl/>
      <w:overflowPunct w:val="true"/>
      <w:bidi w:val="0"/>
      <w:jc w:val="left"/>
    </w:pPr>
    <w:rPr>
      <w:rFonts w:ascii="Symbol" w:hAnsi="Symbol" w:eastAsia="Times New Roman" w:cs="Symbol"/>
      <w:color w:val="000000"/>
      <w:sz w:val="24"/>
      <w:szCs w:val="24"/>
      <w:lang w:val="en-US" w:eastAsia="en-US" w:bidi="ar-SA"/>
    </w:rPr>
  </w:style>
  <w:style w:type="paragraph" w:styleId="Caption">
    <w:name w:val="caption"/>
    <w:basedOn w:val="Normal"/>
    <w:qFormat/>
    <w:pPr>
      <w:suppressLineNumbers/>
      <w:suppressAutoHyphens w:val="true"/>
      <w:spacing w:lineRule="auto" w:line="312" w:before="120" w:after="120"/>
      <w:ind w:left="0" w:right="0" w:firstLine="397"/>
    </w:pPr>
    <w:rPr>
      <w:rFonts w:ascii="Liberation Serif" w:hAnsi="Liberation Serif" w:eastAsia="Noto Sans CJK SC Regular" w:cs="FreeSans"/>
      <w:i/>
      <w:iCs/>
      <w:color w:val="00000A"/>
      <w:szCs w:val="24"/>
      <w:lang w:val="ru-RU" w:eastAsia="zh-CN" w:bidi="hi-IN"/>
    </w:rPr>
  </w:style>
  <w:style w:type="paragraph" w:styleId="Index1">
    <w:name w:val="index 1"/>
    <w:basedOn w:val="Normal"/>
    <w:autoRedefine/>
    <w:qFormat/>
    <w:pPr>
      <w:spacing w:before="0" w:after="0"/>
      <w:ind w:left="240" w:right="0" w:hanging="240"/>
    </w:pPr>
    <w:rPr/>
  </w:style>
  <w:style w:type="paragraph" w:styleId="Indexheading">
    <w:name w:val="index heading"/>
    <w:basedOn w:val="Normal"/>
    <w:qFormat/>
    <w:pPr>
      <w:suppressAutoHyphens w:val="true"/>
      <w:spacing w:lineRule="auto" w:line="312" w:before="0" w:after="0"/>
      <w:ind w:left="0" w:right="0" w:firstLine="567"/>
    </w:pPr>
    <w:rPr>
      <w:rFonts w:ascii="Liberation Serif" w:hAnsi="Liberation Serif" w:eastAsia="FreeSans" w:cs="FreeSans"/>
      <w:color w:val="00000A"/>
      <w:szCs w:val="24"/>
      <w:lang w:val="ru-RU" w:eastAsia="hi-IN" w:bidi="hi-IN"/>
    </w:rPr>
  </w:style>
  <w:style w:type="paragraph" w:styleId="18">
    <w:name w:val="Заголовок1"/>
    <w:basedOn w:val="Normal"/>
    <w:qFormat/>
    <w:pPr>
      <w:keepNext/>
      <w:suppressAutoHyphens w:val="true"/>
      <w:spacing w:lineRule="auto" w:line="312" w:before="240" w:after="120"/>
      <w:ind w:left="0" w:right="0" w:firstLine="397"/>
    </w:pPr>
    <w:rPr>
      <w:rFonts w:ascii="Liberation Sans" w:hAnsi="Liberation Sans" w:eastAsia="Noto Sans CJK SC Regular" w:cs="FreeSans"/>
      <w:color w:val="00000A"/>
      <w:sz w:val="28"/>
      <w:szCs w:val="28"/>
      <w:lang w:val="ru-RU" w:eastAsia="zh-CN" w:bidi="hi-IN"/>
    </w:rPr>
  </w:style>
  <w:style w:type="paragraph" w:styleId="19">
    <w:name w:val="Указатель1"/>
    <w:basedOn w:val="Normal"/>
    <w:qFormat/>
    <w:pPr>
      <w:suppressLineNumbers/>
      <w:suppressAutoHyphens w:val="true"/>
      <w:spacing w:lineRule="auto" w:line="312" w:before="0" w:after="0"/>
      <w:ind w:left="0" w:right="0" w:firstLine="397"/>
    </w:pPr>
    <w:rPr>
      <w:rFonts w:ascii="Liberation Serif" w:hAnsi="Liberation Serif" w:eastAsia="Noto Sans CJK SC Regular" w:cs="FreeSans"/>
      <w:color w:val="00000A"/>
      <w:szCs w:val="24"/>
      <w:lang w:val="ru-RU" w:eastAsia="zh-CN" w:bidi="hi-IN"/>
    </w:rPr>
  </w:style>
  <w:style w:type="paragraph" w:styleId="23">
    <w:name w:val="Указатель2"/>
    <w:basedOn w:val="Normal"/>
    <w:qFormat/>
    <w:pPr>
      <w:suppressLineNumbers/>
      <w:suppressAutoHyphens w:val="true"/>
      <w:spacing w:lineRule="auto" w:line="312" w:before="0" w:after="0"/>
      <w:ind w:left="0" w:right="0" w:firstLine="397"/>
    </w:pPr>
    <w:rPr>
      <w:rFonts w:ascii="Liberation Serif" w:hAnsi="Liberation Serif" w:eastAsia="Noto Sans CJK SC Regular" w:cs="FreeSans"/>
      <w:color w:val="00000A"/>
      <w:szCs w:val="24"/>
      <w:lang w:val="ru-RU" w:eastAsia="zh-CN" w:bidi="hi-IN"/>
    </w:rPr>
  </w:style>
  <w:style w:type="paragraph" w:styleId="110">
    <w:name w:val="Название объекта1"/>
    <w:basedOn w:val="Normal"/>
    <w:qFormat/>
    <w:pPr>
      <w:suppressLineNumbers/>
      <w:suppressAutoHyphens w:val="true"/>
      <w:spacing w:lineRule="auto" w:line="312" w:before="120" w:after="120"/>
      <w:ind w:left="0" w:right="0" w:firstLine="397"/>
    </w:pPr>
    <w:rPr>
      <w:rFonts w:ascii="Liberation Serif" w:hAnsi="Liberation Serif" w:eastAsia="Noto Sans CJK SC Regular" w:cs="FreeSans"/>
      <w:i/>
      <w:iCs/>
      <w:color w:val="00000A"/>
      <w:szCs w:val="24"/>
      <w:lang w:val="ru-RU" w:eastAsia="zh-CN" w:bidi="hi-IN"/>
    </w:rPr>
  </w:style>
  <w:style w:type="paragraph" w:styleId="Style29">
    <w:name w:val="Содержимое таблицы"/>
    <w:basedOn w:val="Normal"/>
    <w:qFormat/>
    <w:pPr>
      <w:suppressLineNumbers/>
      <w:suppressAutoHyphens w:val="true"/>
      <w:spacing w:lineRule="auto" w:line="312" w:before="0" w:after="0"/>
      <w:ind w:left="0" w:right="0" w:firstLine="397"/>
    </w:pPr>
    <w:rPr>
      <w:rFonts w:ascii="Liberation Serif" w:hAnsi="Liberation Serif" w:eastAsia="Noto Sans CJK SC Regular" w:cs="FreeSans"/>
      <w:color w:val="00000A"/>
      <w:szCs w:val="24"/>
      <w:lang w:val="ru-RU" w:eastAsia="zh-CN" w:bidi="hi-IN"/>
    </w:rPr>
  </w:style>
  <w:style w:type="paragraph" w:styleId="Style30">
    <w:name w:val="Заголовок таблицы"/>
    <w:basedOn w:val="Style29"/>
    <w:qFormat/>
    <w:pPr>
      <w:jc w:val="center"/>
    </w:pPr>
    <w:rPr>
      <w:b/>
      <w:bCs/>
    </w:rPr>
  </w:style>
  <w:style w:type="paragraph" w:styleId="111">
    <w:name w:val="Текст выноски1"/>
    <w:basedOn w:val="Normal"/>
    <w:qFormat/>
    <w:pPr>
      <w:suppressAutoHyphens w:val="true"/>
      <w:spacing w:before="0" w:after="0"/>
      <w:ind w:left="0" w:right="0" w:firstLine="397"/>
      <w:jc w:val="left"/>
    </w:pPr>
    <w:rPr>
      <w:rFonts w:ascii="Tahoma" w:hAnsi="Tahoma" w:eastAsia="Tahoma" w:cs="FreeSans"/>
      <w:color w:val="00000A"/>
      <w:sz w:val="16"/>
      <w:szCs w:val="24"/>
      <w:lang w:val="ru-RU" w:eastAsia="zh-CN" w:bidi="hi-IN"/>
    </w:rPr>
  </w:style>
  <w:style w:type="paragraph" w:styleId="Style31">
    <w:name w:val="Блочная цитата"/>
    <w:basedOn w:val="Normal"/>
    <w:qFormat/>
    <w:pPr>
      <w:suppressAutoHyphens w:val="true"/>
      <w:spacing w:lineRule="auto" w:line="312" w:before="0" w:after="0"/>
      <w:ind w:left="0" w:right="0" w:firstLine="397"/>
    </w:pPr>
    <w:rPr>
      <w:rFonts w:ascii="Liberation Serif" w:hAnsi="Liberation Serif" w:eastAsia="Noto Sans CJK SC Regular" w:cs="FreeSans"/>
      <w:color w:val="00000A"/>
      <w:szCs w:val="24"/>
      <w:lang w:val="ru-RU" w:eastAsia="zh-CN" w:bidi="hi-IN"/>
    </w:rPr>
  </w:style>
  <w:style w:type="paragraph" w:styleId="Style32">
    <w:name w:val="Subtitle"/>
    <w:basedOn w:val="18"/>
    <w:qFormat/>
    <w:pPr/>
    <w:rPr/>
  </w:style>
  <w:style w:type="paragraph" w:styleId="ListParagraph">
    <w:name w:val="List Paragraph"/>
    <w:basedOn w:val="Normal"/>
    <w:qFormat/>
    <w:pPr>
      <w:suppressAutoHyphens w:val="true"/>
      <w:spacing w:lineRule="auto" w:line="312" w:before="0" w:after="0"/>
      <w:ind w:left="720" w:right="0" w:firstLine="567"/>
      <w:contextualSpacing/>
    </w:pPr>
    <w:rPr>
      <w:rFonts w:ascii="Liberation Serif" w:hAnsi="Liberation Serif" w:eastAsia="Noto Sans CJK SC Regular" w:cs="Mangal"/>
      <w:color w:val="00000A"/>
      <w:szCs w:val="21"/>
      <w:lang w:val="ru-RU" w:eastAsia="zh-CN" w:bidi="hi-IN"/>
    </w:rPr>
  </w:style>
  <w:style w:type="paragraph" w:styleId="Annotationtext">
    <w:name w:val="annotation text"/>
    <w:basedOn w:val="Normal"/>
    <w:qFormat/>
    <w:pPr>
      <w:suppressAutoHyphens w:val="true"/>
      <w:spacing w:before="0" w:after="0"/>
      <w:ind w:left="0" w:right="0" w:firstLine="567"/>
    </w:pPr>
    <w:rPr>
      <w:rFonts w:ascii="Liberation Serif" w:hAnsi="Liberation Serif" w:eastAsia="FreeSans" w:cs="FreeSans"/>
      <w:color w:val="00000A"/>
      <w:sz w:val="20"/>
      <w:szCs w:val="24"/>
      <w:lang w:val="ru-RU" w:eastAsia="hi-IN" w:bidi="hi-IN"/>
    </w:rPr>
  </w:style>
  <w:style w:type="paragraph" w:styleId="Annotationsubject">
    <w:name w:val="annotation subject"/>
    <w:qFormat/>
    <w:pPr>
      <w:widowControl/>
      <w:suppressAutoHyphens w:val="true"/>
      <w:overflowPunct w:val="true"/>
      <w:bidi w:val="0"/>
      <w:ind w:left="0" w:right="0" w:firstLine="567"/>
      <w:jc w:val="both"/>
    </w:pPr>
    <w:rPr>
      <w:rFonts w:ascii="Liberation Serif" w:hAnsi="Liberation Serif" w:eastAsia="0" w:cs="Liberation Serif"/>
      <w:b/>
      <w:color w:val="000000"/>
      <w:sz w:val="24"/>
      <w:szCs w:val="24"/>
      <w:lang w:val="ru-RU" w:eastAsia="ar-SA" w:bidi="ar-SA"/>
    </w:rPr>
  </w:style>
  <w:style w:type="paragraph" w:styleId="Style33">
    <w:name w:val="Header"/>
    <w:basedOn w:val="Normal"/>
    <w:pPr>
      <w:tabs>
        <w:tab w:val="center" w:pos="4677" w:leader="none"/>
        <w:tab w:val="right" w:pos="9355" w:leader="none"/>
      </w:tabs>
      <w:suppressAutoHyphens w:val="true"/>
      <w:spacing w:before="0" w:after="0"/>
      <w:ind w:left="0" w:right="0" w:firstLine="397"/>
    </w:pPr>
    <w:rPr>
      <w:rFonts w:ascii="Liberation Serif" w:hAnsi="Liberation Serif" w:eastAsia="Noto Sans CJK SC Regular" w:cs="Mangal"/>
      <w:color w:val="00000A"/>
      <w:szCs w:val="21"/>
      <w:lang w:val="ru-RU" w:eastAsia="zh-CN" w:bidi="hi-IN"/>
    </w:rPr>
  </w:style>
  <w:style w:type="paragraph" w:styleId="NormalWeb">
    <w:name w:val="Normal (Web)"/>
    <w:basedOn w:val="Normal"/>
    <w:qFormat/>
    <w:pPr>
      <w:spacing w:before="280" w:after="280"/>
      <w:jc w:val="left"/>
    </w:pPr>
    <w:rPr>
      <w:rFonts w:ascii="Times New Roman" w:hAnsi="Times New Roman"/>
      <w:color w:val="00000A"/>
      <w:szCs w:val="24"/>
      <w:lang w:val="ru-RU" w:eastAsia="ru-RU"/>
    </w:rPr>
  </w:style>
  <w:style w:type="paragraph" w:styleId="Style34">
    <w:name w:val="Содержимое врезки"/>
    <w:basedOn w:val="Normal"/>
    <w:qFormat/>
    <w:pPr/>
    <w:rPr/>
  </w:style>
  <w:style w:type="numbering" w:styleId="NoList">
    <w:name w:val="No List"/>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mailto:alex_root@mail.ru" TargetMode="Externa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hyperlink" Target="https://doi.org/10.5281/zenodo.1478946" TargetMode="External"/><Relationship Id="rId10" Type="http://schemas.openxmlformats.org/officeDocument/2006/relationships/hyperlink" Target="https://doi.org/10.1093/comjnl/7.4.308" TargetMode="External"/><Relationship Id="rId11" Type="http://schemas.openxmlformats.org/officeDocument/2006/relationships/image" Target="media/image7.wmf"/><Relationship Id="rId12" Type="http://schemas.openxmlformats.org/officeDocument/2006/relationships/image" Target="media/image8.wmf"/><Relationship Id="rId13" Type="http://schemas.openxmlformats.org/officeDocument/2006/relationships/image" Target="media/image9.wmf"/><Relationship Id="rId14" Type="http://schemas.openxmlformats.org/officeDocument/2006/relationships/image" Target="media/image10.wmf"/><Relationship Id="rId15" Type="http://schemas.openxmlformats.org/officeDocument/2006/relationships/image" Target="media/image11.png"/><Relationship Id="rId16" Type="http://schemas.openxmlformats.org/officeDocument/2006/relationships/image" Target="media/image12.wmf"/><Relationship Id="rId17" Type="http://schemas.openxmlformats.org/officeDocument/2006/relationships/image" Target="media/image13.wmf"/><Relationship Id="rId18" Type="http://schemas.openxmlformats.org/officeDocument/2006/relationships/image" Target="media/image14.wmf"/><Relationship Id="rId19" Type="http://schemas.openxmlformats.org/officeDocument/2006/relationships/image" Target="media/image15.wmf"/><Relationship Id="rId20" Type="http://schemas.openxmlformats.org/officeDocument/2006/relationships/image" Target="media/image16.wmf"/><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image" Target="media/image19.wmf"/><Relationship Id="rId24" Type="http://schemas.openxmlformats.org/officeDocument/2006/relationships/image" Target="media/image20.wmf"/><Relationship Id="rId25" Type="http://schemas.openxmlformats.org/officeDocument/2006/relationships/footer" Target="footer1.xml"/><Relationship Id="rId26" Type="http://schemas.openxmlformats.org/officeDocument/2006/relationships/numbering" Target="numbering.xml"/><Relationship Id="rId27" Type="http://schemas.openxmlformats.org/officeDocument/2006/relationships/fontTable" Target="fontTable.xml"/><Relationship Id="rId28"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acstemplate_msw2010</Template>
  <TotalTime>250</TotalTime>
  <Application>LibreOffice/5.2.7.2$Linux_X86_64 LibreOffice_project/20m0$Build-2</Application>
  <Pages>16</Pages>
  <Words>931</Words>
  <Characters>5740</Characters>
  <CharactersWithSpaces>6567</CharactersWithSpaces>
  <Paragraphs>119</Paragraphs>
  <Company>ACS</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2019-06-11T08:46:00Z</dcterms:created>
  <dc:creator>alex</dc:creator>
  <dc:description/>
  <dc:language>ru-RU</dc:language>
  <cp:lastModifiedBy/>
  <cp:lastPrinted>2008-06-11T21:33:00Z</cp:lastPrinted>
  <dcterms:modified xsi:type="dcterms:W3CDTF">2019-06-17T00:52:46Z</dcterms:modified>
  <cp:revision>67</cp:revision>
  <dc:subject/>
  <dc:title>Template for Electronic Submission to ACS Journals</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Company">
    <vt:lpwstr>ACS</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