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center"/>
        <w:rPr/>
      </w:pPr>
      <w:r>
        <w:rPr/>
        <w:t>Alexander A. Bondarev</w:t>
      </w:r>
      <w:r>
        <w:rPr>
          <w:vertAlign w:val="superscript"/>
        </w:rPr>
        <w:t>1</w:t>
      </w:r>
      <w:r>
        <w:rPr>
          <w:position w:val="0"/>
          <w:sz w:val="24"/>
          <w:sz w:val="24"/>
          <w:vertAlign w:val="baseline"/>
        </w:rPr>
        <w:t>*</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p>
    <w:p>
      <w:pPr>
        <w:pStyle w:val="TAMainText"/>
        <w:rPr/>
      </w:pPr>
      <w:r>
        <w:rPr>
          <w:color w:val="00000A"/>
        </w:rP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1a,2b,2c,2d</w:t>
      </w:r>
      <w:r>
        <w:rPr>
          <w:color w:val="00000A"/>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color w:val="00000A"/>
        </w:rPr>
        <w:t xml:space="preserve"> freezing of benzenediazonium chlorides up to -84 °C,</w:t>
      </w:r>
      <w:r>
        <w:rPr>
          <w:color w:val="0000CC"/>
          <w:vertAlign w:val="superscript"/>
        </w:rPr>
        <w:t>2f</w:t>
      </w:r>
      <w:r>
        <w:rPr>
          <w:color w:val="00000A"/>
        </w:rPr>
        <w:t xml:space="preserve"> and application of flow-chemistry techniques for DS chemistry.</w:t>
      </w:r>
      <w:r>
        <w:rPr>
          <w:color w:val="0000CC"/>
          <w:vertAlign w:val="superscript"/>
        </w:rPr>
        <w:t>2g</w:t>
      </w:r>
      <w:r>
        <w:rPr>
          <w:color w:val="00000A"/>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color w:val="0000CC"/>
          <w:vertAlign w:val="superscript"/>
        </w:rPr>
        <w:t>3a,3b,3g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color w:val="0000CC"/>
          <w:vertAlign w:val="superscript"/>
        </w:rPr>
        <w:t>3a,3b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3a,3b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jc w:val="center"/>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2"/>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1a</w:t>
            </w:r>
          </w:p>
        </w:tc>
        <w:tc>
          <w:tcPr>
            <w:tcW w:w="4202" w:type="dxa"/>
            <w:tcBorders/>
            <w:shd w:color="auto" w:fill="FFFFFF" w:val="clear"/>
          </w:tcPr>
          <w:p>
            <w:pPr>
              <w:pStyle w:val="TAMainText"/>
              <w:jc w:val="center"/>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3"/>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jc w:val="center"/>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4"/>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1b</w:t>
            </w:r>
          </w:p>
        </w:tc>
        <w:tc>
          <w:tcPr>
            <w:tcW w:w="4202" w:type="dxa"/>
            <w:tcBorders/>
            <w:shd w:color="auto" w:fill="FFFFFF" w:val="clear"/>
          </w:tcPr>
          <w:p>
            <w:pPr>
              <w:pStyle w:val="TAMainText"/>
              <w:jc w:val="center"/>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5"/>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jc w:val="center"/>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6"/>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1c</w:t>
            </w:r>
          </w:p>
        </w:tc>
        <w:tc>
          <w:tcPr>
            <w:tcW w:w="4202" w:type="dxa"/>
            <w:tcBorders/>
            <w:shd w:color="auto" w:fill="FFFFFF" w:val="clear"/>
          </w:tcPr>
          <w:p>
            <w:pPr>
              <w:pStyle w:val="TAMainText"/>
              <w:jc w:val="center"/>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7"/>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 xml:space="preserve">4-nitrobenzenediazonium tosylate </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w:t>
      </w:r>
      <w:r>
        <w:rPr>
          <w:color w:val="0000CC"/>
          <w:vertAlign w:val="superscript"/>
        </w:rPr>
        <w:t>8</w:t>
      </w:r>
      <w:r>
        <w:rPr/>
        <w:t xml:space="preserve">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color w:val="0000CC"/>
          <w:vertAlign w:val="superscript"/>
        </w:rPr>
        <w:t>3a,3b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b w:val="false"/>
          <w:bCs w:val="false"/>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1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3" w:type="dxa"/>
          <w:bottom w:w="0" w:type="dxa"/>
          <w:right w:w="108" w:type="dxa"/>
        </w:tblCellMar>
        <w:tblLook w:val="0000"/>
      </w:tblPr>
      <w:tblGrid>
        <w:gridCol w:w="2689"/>
        <w:gridCol w:w="1001"/>
        <w:gridCol w:w="2404"/>
        <w:gridCol w:w="4"/>
        <w:gridCol w:w="886"/>
        <w:gridCol w:w="2376"/>
      </w:tblGrid>
      <w:tr>
        <w:trPr>
          <w:tblHeader w:val="true"/>
          <w:cantSplit w:val="true"/>
        </w:trPr>
        <w:tc>
          <w:tcPr>
            <w:tcW w:w="268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t>Diazonium salts</w:t>
            </w:r>
          </w:p>
        </w:tc>
        <w:tc>
          <w:tcPr>
            <w:tcW w:w="340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pPr>
            <w:r>
              <w:rPr/>
              <w:t>Endothermic process</w:t>
            </w:r>
          </w:p>
        </w:tc>
        <w:tc>
          <w:tcPr>
            <w:tcW w:w="326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t>Exothermic process</w:t>
            </w:r>
          </w:p>
        </w:tc>
      </w:tr>
      <w:tr>
        <w:trPr>
          <w:tblHeader w:val="true"/>
          <w:cantSplit w:val="true"/>
        </w:trPr>
        <w:tc>
          <w:tcPr>
            <w:tcW w:w="268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pPr>
            <w:r>
              <w:rPr/>
              <w:t>Т, ° C</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t>Т, ° C</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position w:val="0"/>
                <w:sz w:val="24"/>
                <w:sz w:val="24"/>
                <w:szCs w:val="28"/>
                <w:vertAlign w:val="baseline"/>
              </w:rPr>
              <w:t xml:space="preserve">  </w:t>
            </w:r>
            <w:bookmarkEnd w:id="0"/>
            <w:r>
              <w:rPr>
                <w:b/>
                <w:szCs w:val="28"/>
              </w:rPr>
              <w:t>1a</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104.1</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73.49 (21.98)</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szCs w:val="28"/>
              </w:rPr>
            </w:pPr>
            <w:r>
              <w:rPr>
                <w:szCs w:val="28"/>
              </w:rPr>
              <w:t>143.3</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-753.4 (-225.3)</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1b</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102.5</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43.6 (10.04)</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szCs w:val="28"/>
              </w:rPr>
            </w:pPr>
            <w:r>
              <w:rPr>
                <w:szCs w:val="28"/>
              </w:rPr>
              <w:t>111.2</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-840.4 (-251.3)</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1c</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szCs w:val="28"/>
              </w:rPr>
            </w:pPr>
            <w:r>
              <w:rPr>
                <w:szCs w:val="28"/>
              </w:rPr>
              <w:t>116.4</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-219.9 (-65.7)</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1d</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88.4</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102.2 (29.05)</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szCs w:val="28"/>
              </w:rPr>
            </w:pPr>
            <w:r>
              <w:rPr>
                <w:szCs w:val="28"/>
              </w:rPr>
              <w:t>136.6</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-328.9 (-93.5)</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position w:val="0"/>
                <w:sz w:val="24"/>
                <w:sz w:val="24"/>
                <w:szCs w:val="28"/>
                <w:vertAlign w:val="baseline"/>
              </w:rPr>
              <w:t xml:space="preserve">  </w:t>
            </w:r>
            <w:r>
              <w:rPr>
                <w:b/>
                <w:szCs w:val="28"/>
              </w:rPr>
              <w:t>2</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position w:val="0"/>
                <w:sz w:val="24"/>
                <w:sz w:val="24"/>
                <w:szCs w:val="28"/>
                <w:vertAlign w:val="baseline"/>
              </w:rPr>
              <w:t xml:space="preserve">  </w:t>
            </w:r>
            <w:r>
              <w:rPr>
                <w:b/>
                <w:szCs w:val="28"/>
              </w:rPr>
              <w:t>3</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33.7</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tcPr>
          <w:p>
            <w:pPr>
              <w:pStyle w:val="TCTableBody"/>
              <w:spacing w:before="0" w:after="200"/>
              <w:rPr>
                <w:szCs w:val="28"/>
              </w:rPr>
            </w:pPr>
            <w:r>
              <w:rPr>
                <w:szCs w:val="28"/>
              </w:rPr>
              <w:t>617.3 (146.3)</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szCs w:val="28"/>
              </w:rPr>
            </w:pPr>
            <w:r>
              <w:rPr>
                <w:szCs w:val="28"/>
              </w:rPr>
              <w:t>146.5</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3"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3"/>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position w:val="0"/>
          <w:sz w:val="24"/>
          <w:sz w:val="24"/>
          <w:szCs w:val="28"/>
          <w:vertAlign w:val="baseline"/>
        </w:rPr>
        <w:t xml:space="preserve">  </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4"/>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position w:val="0"/>
          <w:sz w:val="24"/>
          <w:sz w:val="24"/>
          <w:szCs w:val="28"/>
          <w:vertAlign w:val="baseline"/>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2810"/>
        <w:gridCol w:w="1083"/>
        <w:gridCol w:w="1083"/>
        <w:gridCol w:w="1107"/>
        <w:gridCol w:w="1"/>
        <w:gridCol w:w="1165"/>
        <w:gridCol w:w="1089"/>
        <w:gridCol w:w="1011"/>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3274"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0.705</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225.4</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6.57</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14.15</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250.0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20.12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47.89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106.0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1.34</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2.97</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231.0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21.10</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34.82</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31.63</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5"/>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b w:val="false"/>
          <w:bCs w:val="false"/>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2578"/>
        <w:gridCol w:w="885"/>
        <w:gridCol w:w="962"/>
        <w:gridCol w:w="1075"/>
        <w:gridCol w:w="1138"/>
        <w:gridCol w:w="1125"/>
        <w:gridCol w:w="108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2922" w:type="dxa"/>
            <w:gridSpan w:val="3"/>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P</w:t>
            </w:r>
            <w:r>
              <w:rPr>
                <w:vertAlign w:val="subscript"/>
              </w:rPr>
              <w:t>0</w:t>
            </w:r>
            <w:r>
              <w:rPr/>
              <w:t>, mW</w:t>
            </w:r>
          </w:p>
        </w:tc>
        <w:tc>
          <w:tcPr>
            <w:tcW w:w="3349"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8.82</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0.00055</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0.01958</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1.311</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0.0630</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3.200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2.745</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0.0539</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89.598</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0.0721</w:t>
            </w:r>
          </w:p>
        </w:tc>
      </w:tr>
    </w:tbl>
    <w:p>
      <w:pPr>
        <w:pStyle w:val="TAMainText"/>
        <w:rPr>
          <w:color w:val="000000"/>
        </w:rPr>
      </w:pPr>
      <w:r>
        <w:rPr>
          <w:color w:val="000000"/>
        </w:rPr>
      </w:r>
    </w:p>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7"/>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8"/>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6"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19"/>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0"/>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b w:val="false"/>
          <w:bCs w:val="false"/>
        </w:rPr>
        <w:t>,</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2"/>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3"/>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00000A"/>
        </w:rPr>
        <w:t xml:space="preserve">Previously, the appearance of polymer products during the thermal decomposition of </w:t>
      </w:r>
      <w:r>
        <w:rPr>
          <w:i/>
          <w:color w:val="00000A"/>
        </w:rPr>
        <w:t>ortho-</w:t>
      </w:r>
      <w:r>
        <w:rPr>
          <w:color w:val="00000A"/>
        </w:rPr>
        <w:t>carboxybenzenediazonium chloride was also explained by the intermediate formation of didehydrobenzene and naphthalene.</w:t>
      </w:r>
      <w:r>
        <w:rPr>
          <w:color w:val="0000CC"/>
          <w:vertAlign w:val="superscript"/>
        </w:rPr>
        <w:t>2h,2i</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r>
        <w:rPr>
          <w:bCs/>
        </w:rPr>
        <w:t xml:space="preserve">. </w:t>
      </w:r>
      <w:r>
        <w:rPr>
          <w:bCs/>
          <w:highlight w:val="yellow"/>
        </w:rPr>
        <w:t>Results of quantum chemical calculations are can be found in (Diazo-Quant.zip).</w:t>
      </w:r>
    </w:p>
    <w:p>
      <w:pPr>
        <w:pStyle w:val="TESupportingInformation"/>
        <w:rPr/>
      </w:pPr>
      <w:r>
        <w:rPr/>
        <w:t xml:space="preserve">Results of quantum-chemical calculations </w:t>
      </w:r>
      <w:r>
        <w:rPr>
          <w:bCs/>
        </w:rPr>
        <w:t>are can be found in (Diazo-Quant.zip)</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cs="Times New Roman" w:ascii="Times New Roman" w:hAnsi="Times New Roman"/>
          <w:sz w:val="24"/>
          <w:szCs w:val="24"/>
          <w:lang w:val="en-US"/>
        </w:rPr>
        <w:t>filimonov@tpu.ru</w:t>
      </w:r>
    </w:p>
    <w:p>
      <w:pPr>
        <w:pStyle w:val="FACorrespondingAuthorFootnote"/>
        <w:spacing w:before="0" w:after="240"/>
        <w:jc w:val="left"/>
        <w:rPr/>
      </w:pPr>
      <w:r>
        <w:rPr/>
        <w:t xml:space="preserve">* Alexander.A.Bondarev, </w:t>
      </w:r>
      <w:bookmarkStart w:id="1" w:name="__DdeLink__14103_2062433773"/>
      <w:r>
        <w:rPr/>
        <w:t>Alexander.A.Bondarev</w:t>
      </w:r>
      <w:bookmarkEnd w:id="1"/>
      <w:r>
        <w:rPr/>
        <w:t>@gmail.com</w:t>
      </w:r>
    </w:p>
    <w:p>
      <w:pPr>
        <w:pStyle w:val="FAAuthorInfoSubtitle"/>
        <w:rPr/>
      </w:pPr>
      <w:r>
        <w:rPr/>
        <w:t>ORCID</w:t>
      </w:r>
    </w:p>
    <w:p>
      <w:pPr>
        <w:pStyle w:val="FAAuthorInfoSubtitle"/>
        <w:rPr>
          <w:b w:val="false"/>
          <w:b w:val="false"/>
          <w:bCs w:val="false"/>
        </w:rPr>
      </w:pPr>
      <w:r>
        <w:rPr>
          <w:b w:val="false"/>
          <w:bCs w:val="false"/>
        </w:rPr>
        <w:t>Prof. Victor D. Filimonov: 0000-0003-4729-8871</w:t>
      </w:r>
    </w:p>
    <w:p>
      <w:pPr>
        <w:pStyle w:val="FAAuthorInfoSubtitle"/>
        <w:rPr>
          <w:b w:val="false"/>
          <w:b w:val="false"/>
          <w:bCs w:val="false"/>
        </w:rPr>
      </w:pPr>
      <w:r>
        <w:rPr>
          <w:b w:val="false"/>
          <w:bCs w:val="false"/>
        </w:rPr>
        <w:t>Ksenia S. Stankevich: 0000-0002-6701-7582</w:t>
      </w:r>
    </w:p>
    <w:p>
      <w:pPr>
        <w:pStyle w:val="FAAuthorInfoSubtitle"/>
        <w:rPr>
          <w:b w:val="false"/>
          <w:b w:val="false"/>
          <w:bCs w:val="false"/>
        </w:rPr>
      </w:pPr>
      <w:r>
        <w:rPr>
          <w:b w:val="false"/>
          <w:bCs w:val="false"/>
        </w:rPr>
        <w:t>Assia Zh. Kassanova: 0000-0002-9563-5521</w:t>
      </w:r>
    </w:p>
    <w:p>
      <w:pPr>
        <w:pStyle w:val="FAAuthorInfoSubtitle"/>
        <w:rPr>
          <w:b w:val="false"/>
          <w:b w:val="false"/>
          <w:bCs w:val="false"/>
        </w:rPr>
      </w:pPr>
      <w:r>
        <w:rPr>
          <w:b w:val="false"/>
          <w:bCs w:val="false"/>
        </w:rPr>
        <w:t>Alexander A. Bondarev: 0000-0002-8707-2394</w:t>
      </w:r>
    </w:p>
    <w:p>
      <w:pPr>
        <w:pStyle w:val="FAAuthorInfoSubtitle"/>
        <w:rPr>
          <w:b w:val="false"/>
          <w:b w:val="false"/>
          <w:bCs w:val="false"/>
        </w:rPr>
      </w:pPr>
      <w:r>
        <w:rPr>
          <w:b w:val="false"/>
          <w:bCs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2" w:name="__DdeLink__3470_24425287"/>
      <w:bookmarkEnd w:id="2"/>
      <w:r>
        <w:rPr>
          <w:b/>
          <w:bCs/>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Zollinger, H. </w:t>
      </w:r>
      <w:r>
        <w:rPr>
          <w:rFonts w:cs="Times New Roman" w:ascii="FreeSerif" w:hAnsi="FreeSerif"/>
          <w:i w:val="false"/>
          <w:iCs w:val="false"/>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w:t>
      </w:r>
      <w:r>
        <w:rPr>
          <w:rFonts w:cs="Times New Roman" w:ascii="FreeSerif" w:hAnsi="FreeSerif"/>
          <w:b w:val="false"/>
          <w:bCs w:val="false"/>
          <w:lang w:val="en-US"/>
        </w:rPr>
        <w:t xml:space="preserve">Roglans, A.; Pla-Quintana, A.; Moreno-Mañas, M. Diazonium Salts as Substrates in Palladium-Catalyzed Cross-Coupling Reactions. Chemical Reviews </w:t>
      </w:r>
      <w:r>
        <w:rPr>
          <w:rFonts w:cs="Times New Roman" w:ascii="FreeSerif" w:hAnsi="FreeSerif"/>
          <w:b/>
          <w:bCs/>
          <w:lang w:val="en-US"/>
        </w:rPr>
        <w:t>2006</w:t>
      </w:r>
      <w:r>
        <w:rPr>
          <w:rFonts w:cs="Times New Roman" w:ascii="FreeSerif" w:hAnsi="FreeSerif"/>
          <w:b w:val="false"/>
          <w:bCs w:val="false"/>
          <w:lang w:val="en-US"/>
        </w:rPr>
        <w:t xml:space="preserve">, 106 (11), 4622–4643. </w:t>
      </w:r>
      <w:hyperlink r:id="rId24">
        <w:r>
          <w:rPr>
            <w:rStyle w:val="Style11"/>
            <w:rFonts w:cs="Times New Roman" w:ascii="FreeSerif" w:hAnsi="FreeSerif"/>
            <w:b w:val="false"/>
            <w:bCs w:val="false"/>
            <w:lang w:val="en-US"/>
          </w:rPr>
          <w:t>https://doi.org/10.1021/cr0509861</w:t>
        </w:r>
      </w:hyperlink>
      <w:r>
        <w:rPr>
          <w:rFonts w:cs="Times New Roman" w:ascii="FreeSerif" w:hAnsi="FreeSerif"/>
          <w:b w:val="false"/>
          <w:bCs w:val="false"/>
          <w:lang w:val="en-US"/>
        </w:rPr>
        <w:t>.</w:t>
      </w:r>
      <w:r>
        <w:rPr>
          <w:rFonts w:cs="Times New Roman" w:ascii="FreeSerif" w:hAnsi="FreeSerif"/>
          <w:lang w:val="en-US"/>
        </w:rPr>
        <w:t xml:space="preserve"> (c) Bonin, H.; Fouquet, E.; Felpin, F.-X. Aryl Diazonium versus Iodonium Salts: Preparation, Applications and Mechanisms for the Suzuki-Miyaura Cross-Coupling Reaction. Advanced Synthesis &amp; Catalysis 2011, 353 (17), 3063–3084. </w:t>
      </w:r>
      <w:hyperlink r:id="rId25">
        <w:r>
          <w:rPr>
            <w:rStyle w:val="Style11"/>
            <w:rFonts w:cs="Times New Roman" w:ascii="FreeSerif" w:hAnsi="FreeSerif"/>
            <w:lang w:val="en-US"/>
          </w:rPr>
          <w:t>https://doi.org/10.1002/adsc.201100531</w:t>
        </w:r>
      </w:hyperlink>
      <w:r>
        <w:rPr>
          <w:rFonts w:cs="Times New Roman" w:ascii="FreeSerif" w:hAnsi="FreeSerif"/>
          <w:lang w:val="en-US"/>
        </w:rPr>
        <w:t xml:space="preserve">. (d) Mo, F.; Dong, G.; Zhang, Y.; Wang, J. Recent Applications of Arene Diazonium Salts in Organic Synthesis. Organic &amp; Biomolecular Chemistry 2013, 11 (10), 1582. </w:t>
      </w:r>
      <w:hyperlink r:id="rId26">
        <w:r>
          <w:rPr>
            <w:rStyle w:val="Style11"/>
            <w:rFonts w:cs="Times New Roman" w:ascii="FreeSerif" w:hAnsi="FreeSerif"/>
            <w:lang w:val="en-US"/>
          </w:rPr>
          <w:t>https://doi.org/10.1039/c3ob27366k</w:t>
        </w:r>
      </w:hyperlink>
      <w:r>
        <w:rPr>
          <w:rFonts w:cs="Times New Roman" w:ascii="FreeSerif" w:hAnsi="FreeSerif"/>
          <w:lang w:val="en-US"/>
        </w:rPr>
        <w:t xml:space="preserve">. (e) Kölmel, D. K.; Jung, N.; Bräse, S. Azides – Diazonium Ions – Triazenes: Versatile Nitrogen-Rich Functional Groups. Australian Journal of Chemistry 2014, 67 (3), 328. </w:t>
      </w:r>
      <w:hyperlink r:id="rId27">
        <w:r>
          <w:rPr>
            <w:rStyle w:val="Style11"/>
            <w:rFonts w:cs="Times New Roman" w:ascii="FreeSerif" w:hAnsi="FreeSerif"/>
            <w:lang w:val="en-US"/>
          </w:rPr>
          <w:t>https://doi.org/10.1071/ch13533</w:t>
        </w:r>
      </w:hyperlink>
      <w:r>
        <w:rPr>
          <w:rFonts w:cs="Times New Roman" w:ascii="FreeSerif" w:hAnsi="FreeSerif"/>
          <w:lang w:val="en-US"/>
        </w:rPr>
        <w:t xml:space="preserve">. (f) Deadman, B. J.; Collins, S. G.; Maguire, A. R. Taming Hazardous Chemistry in Flow: The Continuous Processing of Diazo and Diazonium Compounds. Chemistry - A European Journal 2014, 21 (6), 2298–2308. </w:t>
      </w:r>
      <w:hyperlink r:id="rId28">
        <w:r>
          <w:rPr>
            <w:rStyle w:val="Style11"/>
            <w:rFonts w:cs="Times New Roman" w:ascii="FreeSerif" w:hAnsi="FreeSerif"/>
            <w:lang w:val="en-US"/>
          </w:rPr>
          <w:t>https://doi.org/10.1002/chem.201404348</w:t>
        </w:r>
      </w:hyperlink>
      <w:r>
        <w:rPr>
          <w:rFonts w:cs="Times New Roman" w:ascii="FreeSerif" w:hAnsi="FreeSerif"/>
          <w:lang w:val="en-US"/>
        </w:rPr>
        <w:t xml:space="preserve">. (g) </w:t>
      </w:r>
      <w:r>
        <w:rPr>
          <w:rFonts w:cs="Times New Roman" w:ascii="FreeSerif" w:hAnsi="FreeSerif"/>
          <w:highlight w:val="yellow"/>
          <w:lang w:val="en-US"/>
        </w:rPr>
        <w:t xml:space="preserve">Idowu, O.S.; Kolawole, A.O.; Abegoke, O.A.; Kolade, Y.T.; Fasanmade, A.A.; Olaniyi, A.A. </w:t>
      </w:r>
      <w:r>
        <w:rPr>
          <w:rFonts w:cs="Times New Roman" w:ascii="FreeSerif" w:hAnsi="FreeSerif"/>
          <w:i/>
          <w:highlight w:val="yellow"/>
          <w:lang w:val="en-US"/>
        </w:rPr>
        <w:t>J. AOAC International</w:t>
      </w:r>
      <w:r>
        <w:rPr>
          <w:rFonts w:cs="Times New Roman" w:ascii="FreeSerif" w:hAnsi="FreeSerif"/>
          <w:highlight w:val="yellow"/>
          <w:lang w:val="en-US"/>
        </w:rPr>
        <w:t xml:space="preserve"> </w:t>
      </w:r>
      <w:r>
        <w:rPr>
          <w:rFonts w:cs="Times New Roman" w:ascii="FreeSerif" w:hAnsi="FreeSerif"/>
          <w:b/>
          <w:highlight w:val="yellow"/>
          <w:lang w:val="en-US"/>
        </w:rPr>
        <w:t>2005</w:t>
      </w:r>
      <w:r>
        <w:rPr>
          <w:rFonts w:cs="Times New Roman" w:ascii="FreeSerif" w:hAnsi="FreeSerif"/>
          <w:highlight w:val="yellow"/>
          <w:lang w:val="en-US"/>
        </w:rPr>
        <w:t xml:space="preserve">, </w:t>
      </w:r>
      <w:r>
        <w:rPr>
          <w:rFonts w:cs="Times New Roman" w:ascii="FreeSerif" w:hAnsi="FreeSerif"/>
          <w:i/>
          <w:highlight w:val="yellow"/>
          <w:lang w:val="en-US"/>
        </w:rPr>
        <w:t>88</w:t>
      </w:r>
      <w:r>
        <w:rPr>
          <w:rFonts w:cs="Times New Roman" w:ascii="FreeSerif" w:hAnsi="FreeSerif"/>
          <w:highlight w:val="yellow"/>
          <w:lang w:val="en-US"/>
        </w:rPr>
        <w:t>, 1108-1113.</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Mahouche-Chergui, S.; Gam-Derouich, S.; Mangeney, C.; Chehimi, M. M. Aryl Diazonium Salts: A New Class of Coupling Agents for Bonding Polymers, Biomacromolecules and Nanoparticles to Surfaces. Chemical Society Reviews 2011, 40 (7), 4143. </w:t>
      </w:r>
      <w:hyperlink r:id="rId29">
        <w:r>
          <w:rPr>
            <w:rStyle w:val="Style11"/>
            <w:rFonts w:cs="Times New Roman" w:ascii="FreeSerif" w:hAnsi="FreeSerif"/>
            <w:lang w:val="en-US"/>
          </w:rPr>
          <w:t>https://doi.org/10.1039/c0cs00179a</w:t>
        </w:r>
      </w:hyperlink>
      <w:r>
        <w:rPr>
          <w:rFonts w:cs="Times New Roman" w:ascii="FreeSerif" w:hAnsi="FreeSerif"/>
          <w:lang w:val="en-US"/>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30">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w:t>
      </w:r>
      <w:r>
        <w:rPr>
          <w:rFonts w:cs="Times New Roman" w:ascii="FreeSerif" w:hAnsi="FreeSerif"/>
          <w:b/>
          <w:bCs/>
          <w:lang w:val="en-US"/>
        </w:rPr>
        <w:t>2017</w:t>
      </w:r>
      <w:r>
        <w:rPr>
          <w:rFonts w:cs="Times New Roman" w:ascii="FreeSerif" w:hAnsi="FreeSerif"/>
          <w:lang w:val="en-US"/>
        </w:rPr>
        <w:t xml:space="preserve">, 117 (21), e25430. </w:t>
      </w:r>
      <w:hyperlink r:id="rId31">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w:t>
      </w:r>
      <w:r>
        <w:rPr>
          <w:rFonts w:cs="Times New Roman" w:ascii="FreeSerif" w:hAnsi="FreeSerif"/>
          <w:b/>
          <w:bCs/>
          <w:lang w:val="en-US"/>
        </w:rPr>
        <w:t>2019</w:t>
      </w:r>
      <w:r>
        <w:rPr>
          <w:rFonts w:cs="Times New Roman" w:ascii="FreeSerif" w:hAnsi="FreeSerif"/>
          <w:lang w:val="en-US"/>
        </w:rPr>
        <w:t xml:space="preserve">, 89, 114–121. </w:t>
      </w:r>
      <w:hyperlink r:id="rId32">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w:t>
      </w:r>
      <w:r>
        <w:rPr>
          <w:rFonts w:cs="Times New Roman" w:ascii="FreeSerif" w:hAnsi="FreeSerif"/>
          <w:b/>
          <w:bCs/>
          <w:lang w:val="en-US"/>
        </w:rPr>
        <w:t>2004</w:t>
      </w:r>
      <w:r>
        <w:rPr>
          <w:rFonts w:cs="Times New Roman" w:ascii="FreeSerif" w:hAnsi="FreeSerif"/>
          <w:lang w:val="en-US"/>
        </w:rPr>
        <w:t xml:space="preserve">, 10 (21), 5285–5296. </w:t>
      </w:r>
      <w:hyperlink r:id="rId33">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w:t>
      </w:r>
      <w:r>
        <w:rPr>
          <w:rFonts w:cs="Times New Roman" w:ascii="FreeSerif" w:hAnsi="FreeSerif"/>
          <w:b/>
          <w:bCs/>
          <w:lang w:val="en-US"/>
        </w:rPr>
        <w:t>2018</w:t>
      </w:r>
      <w:r>
        <w:rPr>
          <w:rFonts w:cs="Times New Roman" w:ascii="FreeSerif" w:hAnsi="FreeSerif"/>
          <w:lang w:val="en-US"/>
        </w:rPr>
        <w:t xml:space="preserve">, 74 (38), 5289–5294. </w:t>
      </w:r>
      <w:hyperlink r:id="rId34">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w:t>
      </w:r>
      <w:r>
        <w:rPr>
          <w:rFonts w:cs="Times New Roman" w:ascii="FreeSerif" w:hAnsi="FreeSerif"/>
          <w:b/>
          <w:bCs/>
          <w:lang w:val="en-US"/>
        </w:rPr>
        <w:t>2015</w:t>
      </w:r>
      <w:r>
        <w:rPr>
          <w:rFonts w:cs="Times New Roman" w:ascii="FreeSerif" w:hAnsi="FreeSerif"/>
          <w:lang w:val="en-US"/>
        </w:rPr>
        <w:t xml:space="preserve">, 2 (5), 590–614. </w:t>
      </w:r>
      <w:hyperlink r:id="rId35">
        <w:r>
          <w:rPr>
            <w:rStyle w:val="Style11"/>
            <w:rFonts w:cs="Times New Roman" w:ascii="FreeSerif" w:hAnsi="FreeSerif"/>
            <w:lang w:val="en-US"/>
          </w:rPr>
          <w:t>https://doi.org/10.1039/c5qo00037h</w:t>
        </w:r>
      </w:hyperlink>
      <w:r>
        <w:rPr>
          <w:rFonts w:cs="Times New Roman" w:ascii="FreeSerif" w:hAnsi="FreeSerif"/>
          <w:lang w:val="en-US"/>
        </w:rPr>
        <w:t xml:space="preserve">. (h) Hoyos de Rossi, R.; Bertorello, H. E.; Rossi, R. A. Thermal Decomposition Reactions of Carboxybenzenediazonium Salts. I. 1,4-Dehydroaromatic Compounds from O-Carboxybenzenediazonium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3328–3332. </w:t>
      </w:r>
      <w:hyperlink r:id="rId36">
        <w:r>
          <w:rPr>
            <w:rStyle w:val="Style11"/>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3332–3338. </w:t>
      </w:r>
      <w:hyperlink r:id="rId37">
        <w:r>
          <w:rPr>
            <w:rStyle w:val="Style11"/>
            <w:rFonts w:cs="Times New Roman" w:ascii="FreeSerif" w:hAnsi="FreeSerif"/>
            <w:lang w:val="en-US"/>
          </w:rPr>
          <w:t>https://doi.org/10.1021/jo00835a032</w:t>
        </w:r>
      </w:hyperlink>
      <w:r>
        <w:rPr>
          <w:rFonts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8">
        <w:r>
          <w:rPr>
            <w:rStyle w:val="Style11"/>
            <w:rFonts w:eastAsia="Times New Roman" w:cs="Times New Roman" w:ascii="FreeSerif" w:hAnsi="FreeSerif"/>
            <w:lang w:val="en-US"/>
          </w:rPr>
          <w:t>https://doi.org/10.1021/ol8013528</w:t>
        </w:r>
      </w:hyperlink>
      <w:r>
        <w:rPr>
          <w:rFonts w:eastAsia="Times New Roman" w:cs="Times New Roman" w:ascii="FreeSerif" w:hAnsi="FreeSerif"/>
          <w:lang w:val="en-US"/>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9">
        <w:r>
          <w:rPr>
            <w:rStyle w:val="Style11"/>
            <w:rFonts w:eastAsia="Times New Roman" w:cs="Times New Roman" w:ascii="FreeSerif" w:hAnsi="FreeSerif"/>
            <w:lang w:val="en-US"/>
          </w:rPr>
          <w:t>https://doi.org/10.1002/ejoc.201800887</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Krasnokutskaya, E.; Semenischeva, N.; Filimonov, V.; Knochel, P. A New, One-Step, Effective Protocol for the Iodination of Aromatic and Heterocyclic Compounds via Aprotic Diazotization of Amines. Synthesis 2007, 2007 (1), 81–84. </w:t>
      </w:r>
      <w:hyperlink r:id="rId40">
        <w:r>
          <w:rPr>
            <w:rStyle w:val="Style11"/>
            <w:rFonts w:eastAsia="Times New Roman" w:cs="Times New Roman" w:ascii="FreeSerif" w:hAnsi="FreeSerif"/>
          </w:rPr>
          <w:t>https://doi.org/10.1055/s-2006-958936</w:t>
        </w:r>
      </w:hyperlink>
      <w:r>
        <w:rPr>
          <w:rFonts w:eastAsia="Times New Roman" w:cs="Times New Roman" w:ascii="FreeSerif" w:hAnsi="FreeSerif"/>
        </w:rPr>
        <w:t xml:space="preserve">. </w:t>
      </w:r>
      <w:r>
        <w:rPr>
          <w:rFonts w:eastAsia="Times New Roman" w:cs="Times New Roman" w:ascii="FreeSerif" w:hAnsi="FreeSerif"/>
          <w:lang w:val="en-US"/>
        </w:rPr>
        <w:t xml:space="preserve">(b) Filimonov, V.; Chi, K.-W.; Semenischeva, N.; Krasnokutskaya, E.; Tretyakov, A.; Hwang, H. Sulfonic Acid Based Cation-Exchange Resin: A Novel Proton Source for One-Pot Diazotization-Iodination of Aromatic Amines in Water. Synthesis 2008, 2008 (2), 185–187. </w:t>
      </w:r>
      <w:hyperlink r:id="rId41">
        <w:r>
          <w:rPr>
            <w:rStyle w:val="Style11"/>
            <w:rFonts w:eastAsia="Times New Roman" w:cs="Times New Roman" w:ascii="FreeSerif" w:hAnsi="FreeSerif"/>
            <w:lang w:val="en-US"/>
          </w:rPr>
          <w:t>https://doi.org/10.1055/s-2007-990950</w:t>
        </w:r>
      </w:hyperlink>
      <w:r>
        <w:rPr>
          <w:rFonts w:eastAsia="Times New Roman" w:cs="Times New Roman" w:ascii="FreeSerif" w:hAnsi="FreeSerif"/>
          <w:lang w:val="en-US"/>
        </w:rPr>
        <w:t xml:space="preserve">. (c) Gorlushko, D. A.; Filimonov, V. D.; Krasnokutskaya, E. A.; Semenischeva, N. I.; Go, B. S.; Hwang, H. Y.; Cha, E. H.; Chi, K.-W. Iodination of Aryl Amines in a Water-Paste Form via Stable Aryl Diazonium Tosylates. Tetrahedron Letters 2008, 49 (6), 1080–1082. </w:t>
      </w:r>
      <w:hyperlink r:id="rId42">
        <w:r>
          <w:rPr>
            <w:rStyle w:val="Style11"/>
            <w:rFonts w:eastAsia="Times New Roman" w:cs="Times New Roman" w:ascii="FreeSerif" w:hAnsi="FreeSerif"/>
            <w:lang w:val="en-US"/>
          </w:rPr>
          <w:t>https://doi.org/10.1016/j.tetlet.2007.11.192</w:t>
        </w:r>
      </w:hyperlink>
      <w:r>
        <w:rPr>
          <w:rFonts w:eastAsia="Times New Roman" w:cs="Times New Roman" w:ascii="FreeSerif" w:hAnsi="FreeSerif"/>
          <w:lang w:val="en-US"/>
        </w:rPr>
        <w:t xml:space="preserve">. (d) Lee, Y. M.; Moon, M. E.; Vajpayee, V.; Filimonov, V. D.; Chi, K.-W. Efficient and Economic Halogenation of Aryl Amines via Arenediazonium Tosylate Salts. Tetrahedron 2010, 66 (37), 7418–7422. </w:t>
      </w:r>
      <w:hyperlink r:id="rId43">
        <w:r>
          <w:rPr>
            <w:rStyle w:val="Style11"/>
            <w:rFonts w:eastAsia="Times New Roman" w:cs="Times New Roman" w:ascii="FreeSerif" w:hAnsi="FreeSerif"/>
            <w:lang w:val="en-US"/>
          </w:rPr>
          <w:t>https://doi.org/10.1016/j.tet.2010.07.005</w:t>
        </w:r>
      </w:hyperlink>
      <w:r>
        <w:rPr>
          <w:rFonts w:eastAsia="Times New Roman" w:cs="Times New Roman" w:ascii="FreeSerif" w:hAnsi="FreeSerif"/>
          <w:lang w:val="en-US"/>
        </w:rPr>
        <w:t xml:space="preserve">. (e) Moon, M. E.; Choi, Y.; Lee, Y. M.; Vajpayee, V.; Trusova, M.; Filimonov, V. D.; Chi, K.-W. An Expeditious and Environmentally Benign Preparation of Aryl Halides from Aryl Amines by Solvent-Free Grinding. Tetrahedron Letters 2010, 51 (51), 6769–6771. </w:t>
      </w:r>
      <w:hyperlink r:id="rId44">
        <w:r>
          <w:rPr>
            <w:rStyle w:val="Style11"/>
            <w:rFonts w:eastAsia="Times New Roman" w:cs="Times New Roman" w:ascii="FreeSerif" w:hAnsi="FreeSerif"/>
            <w:lang w:val="en-US"/>
          </w:rPr>
          <w:t>https://doi.org/10.1016/j.tetlet.2010.10.099</w:t>
        </w:r>
      </w:hyperlink>
      <w:r>
        <w:rPr>
          <w:rFonts w:eastAsia="Times New Roman" w:cs="Times New Roman" w:ascii="FreeSerif" w:hAnsi="FreeSerif"/>
          <w:lang w:val="en-US"/>
        </w:rPr>
        <w:t xml:space="preserve">. (f) Chi, K.-W.; Filimonov, V.; Trusova, M.; Krasnokutskaya, E.; Postnikov, P.; Choi, Y. A Green Procedure for the Diazotization-Iodination of Aromatic Amines under Aqueous, Strong-Acid-Free Conditions. Synthesis 2011, 2011 (13), 2154–2158. </w:t>
      </w:r>
      <w:hyperlink r:id="rId45">
        <w:r>
          <w:rPr>
            <w:rStyle w:val="Style11"/>
            <w:rFonts w:eastAsia="Times New Roman" w:cs="Times New Roman" w:ascii="FreeSerif" w:hAnsi="FreeSerif"/>
            <w:lang w:val="en-US"/>
          </w:rPr>
          <w:t>https://doi.org/10.1055/s-0030-1260046</w:t>
        </w:r>
      </w:hyperlink>
      <w:r>
        <w:rPr>
          <w:rFonts w:eastAsia="Times New Roman" w:cs="Times New Roman" w:ascii="FreeSerif" w:hAnsi="FreeSerif"/>
          <w:lang w:val="en-US"/>
        </w:rPr>
        <w:t xml:space="preserve">. (g) Filimonov, V.; Parello, J.; Kutonova, K.; Trusova, M.; Postnikov, P. A Simple and Effective Synthesis of Aryl Azides via Arenediazonium Tosylates. Synthesis 2013, 45 (19), 2706–2710. </w:t>
      </w:r>
      <w:hyperlink r:id="rId46">
        <w:r>
          <w:rPr>
            <w:rStyle w:val="Style11"/>
            <w:rFonts w:eastAsia="Times New Roman" w:cs="Times New Roman" w:ascii="FreeSerif" w:hAnsi="FreeSerif"/>
            <w:lang w:val="en-US"/>
          </w:rPr>
          <w:t>https://doi.org/10.1055/s-0033-1339648</w:t>
        </w:r>
      </w:hyperlink>
      <w:r>
        <w:rPr>
          <w:rFonts w:eastAsia="Times New Roman" w:cs="Times New Roman" w:ascii="FreeSerif" w:hAnsi="FreeSerif"/>
          <w:lang w:val="en-US"/>
        </w:rPr>
        <w:t xml:space="preserve">. (h) Kutonova, K. V.; Trusova, M. E.; Stankevich, A. V.; Postnikov, P. S.; Filimonov, V. D. Matsuda–Heck Reaction with Arenediazonium Tosylates in Water. Beilstein Journal of Organic Chemistry 2015, 11, 358–362. </w:t>
      </w:r>
      <w:hyperlink r:id="rId47">
        <w:r>
          <w:rPr>
            <w:rStyle w:val="Style11"/>
            <w:rFonts w:eastAsia="Times New Roman" w:cs="Times New Roman" w:ascii="FreeSerif" w:hAnsi="FreeSerif"/>
            <w:lang w:val="en-US"/>
          </w:rPr>
          <w:t>https://doi.org/10.3762/bjoc.11.41</w:t>
        </w:r>
      </w:hyperlink>
      <w:r>
        <w:rPr>
          <w:rFonts w:eastAsia="Times New Roman" w:cs="Times New Roman" w:ascii="FreeSerif" w:hAnsi="FreeSerif"/>
          <w:lang w:val="en-US"/>
        </w:rPr>
        <w:t xml:space="preserve">. (i) Postnikov, P.; Bräse, S.; Kutonova, K.; Jung, N.; Trusova, M.; Filimonov, V. Arenediazonium Tosylates (ADTs) as Efficient Reagents for Suzuki–Miyaura Cross-Coupling in Neat Water. Synthesis 2016, 49 (7), 1680–1688. </w:t>
      </w:r>
      <w:hyperlink r:id="rId48">
        <w:r>
          <w:rPr>
            <w:rStyle w:val="Style11"/>
            <w:rFonts w:eastAsia="Times New Roman" w:cs="Times New Roman" w:ascii="FreeSerif" w:hAnsi="FreeSerif"/>
            <w:lang w:val="en-US"/>
          </w:rPr>
          <w:t>https://doi.org/10.1055/s-0036-1588919</w:t>
        </w:r>
      </w:hyperlink>
      <w:r>
        <w:rPr>
          <w:rFonts w:eastAsia="Times New Roman" w:cs="Times New Roman" w:ascii="FreeSerif" w:hAnsi="FreeSerif"/>
          <w:lang w:val="en-US"/>
        </w:rPr>
        <w:t xml:space="preserve">. (j) Song, Young Ho; Ahn, Jeong-Soo; Chi, Ki-Whan. One-Pot Homo- and Cross-Coupling Reactions of Arenediazonium Tosylate Salts for the Synthesis of Biaryls and Polyaryls. Bulletin of the Korean Chemical Society 2011, 32 (spc8), 2970–2972. </w:t>
      </w:r>
      <w:hyperlink r:id="rId49">
        <w:r>
          <w:rPr>
            <w:rStyle w:val="Style11"/>
            <w:rFonts w:eastAsia="Times New Roman" w:cs="Times New Roman" w:ascii="FreeSerif" w:hAnsi="FreeSerif"/>
            <w:lang w:val="en-US"/>
          </w:rPr>
          <w:t>https://doi.org/10.5012/BKCS.2011.32.8.2970</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color w:val="00000A"/>
          <w:lang w:val="en-US"/>
        </w:rPr>
        <w:t xml:space="preserve">(a) Riss, P. J.; Kuschel, S.; Aigbirhio, F. I. No Carrier-Added Nucleophilic Aromatic Radiofluorination Using Solid Phase Supported Arenediazonium Sulfonates and 1-(Aryldiazenyl)piperazines. Tetrahedron Letters 2012, 53 (14), 1717–1719. </w:t>
      </w:r>
      <w:hyperlink r:id="rId50">
        <w:r>
          <w:rPr>
            <w:rStyle w:val="Style11"/>
            <w:rFonts w:eastAsia="Times New Roman" w:cs="Times New Roman" w:ascii="FreeSerif" w:hAnsi="FreeSerif"/>
            <w:color w:val="00000A"/>
            <w:lang w:val="en-US"/>
          </w:rPr>
          <w:t>https://doi.org/10.1016/j.tetlet.2012.01.082</w:t>
        </w:r>
      </w:hyperlink>
      <w:r>
        <w:rPr>
          <w:rFonts w:eastAsia="Times New Roman" w:cs="Times New Roman" w:ascii="FreeSerif" w:hAnsi="FreeSerif"/>
          <w:color w:val="00000A"/>
          <w:lang w:val="en-US"/>
        </w:rPr>
        <w:t xml:space="preserve">. (b)  Velikorodov, A. V.; Ionova, V. A.; Temirbulatova, S. I.; Suvorova, M. A. Some Chemical Transformations of Alkyl (4-Aminophenyl)carbamates. Russian Journal of Organic Chemistry 2013, 49 (7), 1004–1009. </w:t>
      </w:r>
      <w:hyperlink r:id="rId51">
        <w:r>
          <w:rPr>
            <w:rStyle w:val="Style11"/>
            <w:rFonts w:eastAsia="Times New Roman" w:cs="Times New Roman" w:ascii="FreeSerif" w:hAnsi="FreeSerif"/>
            <w:color w:val="00000A"/>
            <w:lang w:val="en-US"/>
          </w:rPr>
          <w:t>https://doi.org/10.1134/s1070428013070087</w:t>
        </w:r>
      </w:hyperlink>
      <w:r>
        <w:rPr>
          <w:rFonts w:eastAsia="Times New Roman" w:cs="Times New Roman" w:ascii="FreeSerif" w:hAnsi="FreeSerif"/>
          <w:color w:val="00000A"/>
          <w:lang w:val="en-US"/>
        </w:rPr>
        <w:t xml:space="preserve">. (c) Wang, W.; Tang, Z.; Zhang, Y.; Wang, T. Rhodium(I)-Catalyzed Synthesis of Aryltriethoxysilanes from Arenediazonium Tosylate Salts with Triethoxysilane. Synlett 2010, 2010 (5), 804–808. </w:t>
      </w:r>
      <w:hyperlink r:id="rId52">
        <w:r>
          <w:rPr>
            <w:rStyle w:val="Style11"/>
            <w:rFonts w:eastAsia="Times New Roman" w:cs="Times New Roman" w:ascii="FreeSerif" w:hAnsi="FreeSerif"/>
            <w:color w:val="00000A"/>
            <w:lang w:val="en-US"/>
          </w:rPr>
          <w:t>https://doi.org/10.1055/s-0029-1219090</w:t>
        </w:r>
      </w:hyperlink>
      <w:r>
        <w:rPr>
          <w:rFonts w:eastAsia="Times New Roman" w:cs="Times New Roman" w:ascii="FreeSerif" w:hAnsi="FreeSerif"/>
          <w:color w:val="00000A"/>
          <w:lang w:val="en-US"/>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53">
        <w:r>
          <w:rPr>
            <w:rStyle w:val="Style11"/>
            <w:rFonts w:eastAsia="Times New Roman" w:cs="Times New Roman" w:ascii="FreeSerif" w:hAnsi="FreeSerif"/>
            <w:color w:val="00000A"/>
            <w:lang w:val="en-US"/>
          </w:rPr>
          <w:t>https://doi.org/10.1134/s1995078010070037</w:t>
        </w:r>
      </w:hyperlink>
      <w:r>
        <w:rPr>
          <w:rFonts w:eastAsia="Times New Roman" w:cs="Times New Roman" w:ascii="FreeSerif" w:hAnsi="FreeSerif"/>
          <w:color w:val="00000A"/>
          <w:lang w:val="en-US"/>
        </w:rPr>
        <w:t xml:space="preserve">. (e) Min, M.; Seo, S.; Lee, J.; Lee, S. M.; Hwang, E.; Lee, H. Changes in Major Charge Transport by Molecular Spatial Orientation in Graphene Channel Field Effect Transistors. Chemical Communications 2013, 49 (56), 6289. </w:t>
      </w:r>
      <w:hyperlink r:id="rId54">
        <w:r>
          <w:rPr>
            <w:rStyle w:val="Style11"/>
            <w:rFonts w:eastAsia="Times New Roman" w:cs="Times New Roman" w:ascii="FreeSerif" w:hAnsi="FreeSerif"/>
            <w:color w:val="00000A"/>
            <w:lang w:val="en-US"/>
          </w:rPr>
          <w:t>https://doi.org/10.1039/c3cc42591f</w:t>
        </w:r>
      </w:hyperlink>
      <w:r>
        <w:rPr>
          <w:rFonts w:eastAsia="Times New Roman" w:cs="Times New Roman" w:ascii="FreeSerif" w:hAnsi="FreeSerif"/>
          <w:color w:val="00000A"/>
          <w:lang w:val="en-US"/>
        </w:rPr>
        <w:t>.</w:t>
      </w:r>
    </w:p>
    <w:p>
      <w:pPr>
        <w:pStyle w:val="TFReferencesSection"/>
        <w:widowControl/>
        <w:numPr>
          <w:ilvl w:val="0"/>
          <w:numId w:val="3"/>
        </w:numPr>
        <w:bidi w:val="0"/>
        <w:spacing w:lineRule="auto" w:line="480" w:before="0" w:after="200"/>
        <w:ind w:left="1020" w:right="0" w:hanging="454"/>
        <w:jc w:val="both"/>
        <w:rPr/>
      </w:pPr>
      <w:hyperlink r:id="rId55">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3"/>
        </w:numPr>
        <w:bidi w:val="0"/>
        <w:spacing w:lineRule="auto" w:line="480" w:before="0" w:after="200"/>
        <w:jc w:val="both"/>
        <w:rPr/>
      </w:pPr>
      <w:r>
        <w:rPr>
          <w:rFonts w:eastAsia="Times New Roman" w:cs="Times New Roman" w:ascii="FreeSerif" w:hAnsi="FreeSerif"/>
          <w:lang w:val="en-US"/>
        </w:rPr>
        <w:t xml:space="preserve">(a) Ullrich, R.; Grewer, T. Decomposition of Aromatic Diazonium Compounds. Thermochimica Acta 1993, 225 (2), 201–211. </w:t>
      </w:r>
      <w:hyperlink r:id="rId56">
        <w:r>
          <w:rPr>
            <w:rStyle w:val="Style11"/>
            <w:rFonts w:eastAsia="Times New Roman" w:cs="Times New Roman" w:ascii="FreeSerif" w:hAnsi="FreeSerif"/>
            <w:lang w:val="en-US"/>
          </w:rPr>
          <w:t>https://doi.org/10.1016/0040-6031(93)80188-g</w:t>
        </w:r>
      </w:hyperlink>
      <w:r>
        <w:rPr>
          <w:rFonts w:eastAsia="Times New Roman" w:cs="Times New Roman" w:ascii="FreeSerif" w:hAnsi="FreeSerif"/>
          <w:lang w:val="en-US"/>
        </w:rPr>
        <w:t xml:space="preserve">. (b) Brown, L. L.; Drury, J. S. Nitrogen Isotope Effects in the Decomposition of Diazonium Salts. The Journal of Chemical Physics 1965, 43 (5), 1688–1691. </w:t>
      </w:r>
      <w:hyperlink r:id="rId57">
        <w:r>
          <w:rPr>
            <w:rStyle w:val="Style11"/>
            <w:rFonts w:eastAsia="Times New Roman" w:cs="Times New Roman" w:ascii="FreeSerif" w:hAnsi="FreeSerif"/>
            <w:lang w:val="en-US"/>
          </w:rPr>
          <w:t>https://doi.org/10.1063/1.1696991</w:t>
        </w:r>
      </w:hyperlink>
      <w:r>
        <w:rPr>
          <w:rFonts w:eastAsia="Times New Roman" w:cs="Times New Roman" w:ascii="FreeSerif" w:hAnsi="FreeSerif"/>
          <w:lang w:val="en-US"/>
        </w:rPr>
        <w:t>. (c)</w:t>
      </w:r>
      <w:r>
        <w:rPr>
          <w:rFonts w:eastAsia="Times New Roman" w:cs="Times New Roman" w:ascii="FreeSerif" w:hAnsi="FreeSerif"/>
          <w:highlight w:val="yellow"/>
          <w:lang w:val="en-US"/>
        </w:rPr>
        <w:t xml:space="preserve"> Storey, P.D. Calorimetric Studies of the Thermal Explosion Properties of Aromatic Diazonium Salts, Institution. Chem. Eng. Symposium Series. </w:t>
      </w:r>
      <w:r>
        <w:rPr>
          <w:rFonts w:eastAsia="Times New Roman" w:cs="Times New Roman" w:ascii="FreeSerif" w:hAnsi="FreeSerif"/>
          <w:b/>
          <w:bCs/>
          <w:highlight w:val="yellow"/>
          <w:lang w:val="en-US"/>
        </w:rPr>
        <w:t>1981</w:t>
      </w:r>
      <w:r>
        <w:rPr>
          <w:rFonts w:eastAsia="Times New Roman" w:cs="Times New Roman" w:ascii="FreeSerif" w:hAnsi="FreeSerif"/>
          <w:highlight w:val="yellow"/>
          <w:lang w:val="en-US"/>
        </w:rPr>
        <w:t xml:space="preserve">, </w:t>
      </w:r>
      <w:r>
        <w:rPr>
          <w:rFonts w:eastAsia="Times New Roman" w:cs="Times New Roman" w:ascii="FreeSerif" w:hAnsi="FreeSerif"/>
          <w:color w:val="FF0000"/>
          <w:highlight w:val="yellow"/>
          <w:lang w:val="en-US"/>
        </w:rPr>
        <w:t>No. 68. P.1-3.P.9.</w:t>
      </w:r>
    </w:p>
    <w:p>
      <w:pPr>
        <w:pStyle w:val="TFReferencesSection"/>
        <w:widowControl/>
        <w:numPr>
          <w:ilvl w:val="0"/>
          <w:numId w:val="3"/>
        </w:numPr>
        <w:bidi w:val="0"/>
        <w:spacing w:lineRule="auto" w:line="480" w:before="0" w:after="200"/>
        <w:jc w:val="both"/>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b w:val="false"/>
          <w:bCs w:val="false"/>
          <w:highlight w:val="yellow"/>
        </w:rPr>
        <w:t>,</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xml:space="preserve">, 29, 133. (c) STANAG 4582: Explosives, nitrocellulose based propellants - stability test procedures and requirements using HFC Brussels: North Atlantic Treaty Organization, Military Agency for Standardization, </w:t>
      </w:r>
      <w:r>
        <w:rPr>
          <w:b w:val="false"/>
          <w:bCs w:val="false"/>
          <w:highlight w:val="yellow"/>
        </w:rPr>
        <w:t>2004</w:t>
      </w:r>
      <w:r>
        <w:rPr>
          <w:highlight w:val="yellow"/>
        </w:rPr>
        <w:t xml:space="preserve">. (d) Jelisavac, L.; Stojiljković, S.; Gačić, S.; Brzić, S.; Bobić N. Comparative Examination of the Chemical Stability of Powders and Double – Base Rocket Propellants by Measuring Heat Activities and Stabilizer Content. Scientific Technical Review, </w:t>
      </w:r>
      <w:r>
        <w:rPr>
          <w:b w:val="false"/>
          <w:bCs w:val="false"/>
          <w:highlight w:val="yellow"/>
        </w:rPr>
        <w:t>2014</w:t>
      </w:r>
      <w:r>
        <w:rPr>
          <w:highlight w:val="yellow"/>
        </w:rPr>
        <w:t>, Vol.64, No.1, pp. 48-54</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color w:val="00000A"/>
          <w:highlight w:val="yellow"/>
          <w:lang w:val="en-US"/>
        </w:rPr>
        <w:t>(a) Williams, T.; Kelley, C. Gnuplot 4.5: an interactive plotting program. URL http://gnuplot.info.</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(Last accessed: </w:t>
      </w:r>
      <w:r>
        <w:rPr>
          <w:rFonts w:eastAsia="Times New Roman" w:cs="Times New Roman" w:ascii="FreeSerif" w:hAnsi="FreeSerif"/>
          <w:b/>
          <w:bCs/>
          <w:color w:val="00000A"/>
          <w:highlight w:val="yellow"/>
          <w:lang w:val="en-US"/>
        </w:rPr>
        <w:t>2011</w:t>
      </w:r>
      <w:r>
        <w:rPr>
          <w:rFonts w:eastAsia="Times New Roman" w:cs="Times New Roman" w:ascii="FreeSerif" w:hAnsi="FreeSerif"/>
          <w:color w:val="00000A"/>
          <w:highlight w:val="yellow"/>
          <w:lang w:val="en-US"/>
        </w:rPr>
        <w:t xml:space="preserve"> June 7). (b) R Core Team. R: A language and environment for statistical computing. R Foundation for Statistical / Computing, Vienna, Austria. </w:t>
      </w:r>
      <w:r>
        <w:rPr>
          <w:rFonts w:eastAsia="Times New Roman" w:cs="Times New Roman" w:ascii="FreeSerif" w:hAnsi="FreeSerif"/>
          <w:b/>
          <w:bCs/>
          <w:color w:val="00000A"/>
          <w:highlight w:val="yellow"/>
          <w:lang w:val="en-US"/>
        </w:rPr>
        <w:t>2017</w:t>
      </w:r>
      <w:r>
        <w:rPr>
          <w:rFonts w:eastAsia="Times New Roman" w:cs="Times New Roman" w:ascii="FreeSerif" w:hAnsi="FreeSerif"/>
          <w:b w:val="false"/>
          <w:bCs w:val="false"/>
          <w:color w:val="00000A"/>
          <w:highlight w:val="yellow"/>
          <w:lang w:val="en-US"/>
        </w:rPr>
        <w:t>,</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URL </w:t>
      </w:r>
      <w:hyperlink r:id="rId58">
        <w:r>
          <w:rPr>
            <w:rStyle w:val="Style11"/>
            <w:rFonts w:eastAsia="Times New Roman" w:cs="Times New Roman" w:ascii="FreeSerif" w:hAnsi="FreeSerif"/>
            <w:color w:val="00000A"/>
            <w:highlight w:val="yellow"/>
            <w:lang w:val="en-US"/>
          </w:rPr>
          <w:t>https://www.R-project.org/</w:t>
        </w:r>
      </w:hyperlink>
    </w:p>
    <w:p>
      <w:pPr>
        <w:pStyle w:val="TFReferencesSection"/>
        <w:widowControl/>
        <w:numPr>
          <w:ilvl w:val="0"/>
          <w:numId w:val="3"/>
        </w:numPr>
        <w:bidi w:val="0"/>
        <w:spacing w:lineRule="auto" w:line="480" w:before="0" w:after="200"/>
        <w:ind w:left="1020" w:right="0" w:hanging="454"/>
        <w:jc w:val="both"/>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9">
        <w:r>
          <w:rPr>
            <w:rStyle w:val="Style11"/>
          </w:rPr>
          <w:t>https://doi.org/10.1186/1471-2105-9-163</w:t>
        </w:r>
      </w:hyperlink>
      <w:r>
        <w:rPr/>
        <w:t>.</w:t>
      </w:r>
    </w:p>
    <w:p>
      <w:pPr>
        <w:pStyle w:val="TFReferencesSection"/>
        <w:widowControl/>
        <w:numPr>
          <w:ilvl w:val="0"/>
          <w:numId w:val="3"/>
        </w:numPr>
        <w:bidi w:val="0"/>
        <w:spacing w:lineRule="auto" w:line="480" w:before="0" w:after="200"/>
        <w:ind w:left="1020" w:right="0" w:hanging="454"/>
        <w:jc w:val="both"/>
        <w:rPr>
          <w:highlight w:val="yellow"/>
        </w:rPr>
      </w:pPr>
      <w:r>
        <w:rPr>
          <w:highlight w:val="yellow"/>
        </w:rPr>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w:t>
      </w:r>
      <w:r>
        <w:rPr>
          <w:b w:val="false"/>
          <w:bCs w:val="false"/>
          <w:highlight w:val="yellow"/>
        </w:rPr>
        <w:t>2016</w:t>
      </w:r>
      <w:r>
        <w:rPr>
          <w:highlight w:val="yellow"/>
        </w:rPr>
        <w:t>.</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60"/>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2">
              <wp:simplePos x="0" y="0"/>
              <wp:positionH relativeFrom="margin">
                <wp:align>right</wp:align>
              </wp:positionH>
              <wp:positionV relativeFrom="paragraph">
                <wp:posOffset>635</wp:posOffset>
              </wp:positionV>
              <wp:extent cx="159385" cy="203200"/>
              <wp:effectExtent l="0" t="0" r="0" b="0"/>
              <wp:wrapSquare wrapText="largest"/>
              <wp:docPr id="23" name="Врезка1"/>
              <a:graphic xmlns:a="http://schemas.openxmlformats.org/drawingml/2006/main">
                <a:graphicData uri="http://schemas.microsoft.com/office/word/2010/wordprocessingShape">
                  <wps:wsp>
                    <wps:cNvSpPr/>
                    <wps:spPr>
                      <a:xfrm>
                        <a:off x="0" y="0"/>
                        <a:ext cx="15876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46</w:t>
                          </w:r>
                          <w:r>
                            <w:fldChar w:fldCharType="end"/>
                          </w:r>
                        </w:p>
                      </w:txbxContent>
                    </wps:txbx>
                    <wps:bodyPr lIns="0" rIns="0" tIns="0" bIns="0">
                      <a:spAutoFit/>
                    </wps:bodyPr>
                  </wps:wsp>
                </a:graphicData>
              </a:graphic>
            </wp:anchor>
          </w:drawing>
        </mc:Choice>
        <mc:Fallback>
          <w:pict>
            <v:rect id="shape_0" ID="Врезка1" stroked="f" style="position:absolute;margin-left:455.45pt;margin-top:0.05pt;width:12.45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46</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link w:val="af4"/>
    <w:qFormat/>
    <w:rsid w:val="00335422"/>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oi.org/10.1021/cr0509861" TargetMode="External"/><Relationship Id="rId25" Type="http://schemas.openxmlformats.org/officeDocument/2006/relationships/hyperlink" Target="https://doi.org/10.1002/adsc.201100531" TargetMode="External"/><Relationship Id="rId26" Type="http://schemas.openxmlformats.org/officeDocument/2006/relationships/hyperlink" Target="https://doi.org/10.1039/c3ob27366k" TargetMode="External"/><Relationship Id="rId27" Type="http://schemas.openxmlformats.org/officeDocument/2006/relationships/hyperlink" Target="https://doi.org/10.1071/ch13533" TargetMode="External"/><Relationship Id="rId28" Type="http://schemas.openxmlformats.org/officeDocument/2006/relationships/hyperlink" Target="https://doi.org/10.1002/chem.201404348" TargetMode="External"/><Relationship Id="rId29" Type="http://schemas.openxmlformats.org/officeDocument/2006/relationships/hyperlink" Target="https://doi.org/10.1039/c0cs00179a" TargetMode="External"/><Relationship Id="rId30" Type="http://schemas.openxmlformats.org/officeDocument/2006/relationships/hyperlink" Target="https://doi.org/10.1016/j.jlp.2015.09.004" TargetMode="External"/><Relationship Id="rId31" Type="http://schemas.openxmlformats.org/officeDocument/2006/relationships/hyperlink" Target="https://doi.org/10.1002/qua.25430" TargetMode="External"/><Relationship Id="rId32" Type="http://schemas.openxmlformats.org/officeDocument/2006/relationships/hyperlink" Target="https://doi.org/10.1016/j.jmgm.2019.03.008" TargetMode="External"/><Relationship Id="rId33" Type="http://schemas.openxmlformats.org/officeDocument/2006/relationships/hyperlink" Target="https://doi.org/10.1002/chem.200400386" TargetMode="External"/><Relationship Id="rId34" Type="http://schemas.openxmlformats.org/officeDocument/2006/relationships/hyperlink" Target="https://doi.org/10.1016/j.tet.2018.05.089" TargetMode="External"/><Relationship Id="rId35" Type="http://schemas.openxmlformats.org/officeDocument/2006/relationships/hyperlink" Target="https://doi.org/10.1039/c5qo00037h" TargetMode="External"/><Relationship Id="rId36" Type="http://schemas.openxmlformats.org/officeDocument/2006/relationships/hyperlink" Target="https://doi.org/10.1021/jo00835a031" TargetMode="External"/><Relationship Id="rId37" Type="http://schemas.openxmlformats.org/officeDocument/2006/relationships/hyperlink" Target="https://doi.org/10.1021/jo00835a032" TargetMode="External"/><Relationship Id="rId38" Type="http://schemas.openxmlformats.org/officeDocument/2006/relationships/hyperlink" Target="https://doi.org/10.1021/ol8013528" TargetMode="External"/><Relationship Id="rId39" Type="http://schemas.openxmlformats.org/officeDocument/2006/relationships/hyperlink" Target="https://doi.org/10.1002/ejoc.201800887" TargetMode="External"/><Relationship Id="rId40" Type="http://schemas.openxmlformats.org/officeDocument/2006/relationships/hyperlink" Target="https://doi.org/10.1055/s-2006-958936" TargetMode="External"/><Relationship Id="rId41" Type="http://schemas.openxmlformats.org/officeDocument/2006/relationships/hyperlink" Target="https://doi.org/10.1055/s-2007-990950" TargetMode="External"/><Relationship Id="rId42" Type="http://schemas.openxmlformats.org/officeDocument/2006/relationships/hyperlink" Target="https://doi.org/10.1016/j.tetlet.2007.11.192" TargetMode="External"/><Relationship Id="rId43" Type="http://schemas.openxmlformats.org/officeDocument/2006/relationships/hyperlink" Target="https://doi.org/10.1016/j.tet.2010.07.005" TargetMode="External"/><Relationship Id="rId44" Type="http://schemas.openxmlformats.org/officeDocument/2006/relationships/hyperlink" Target="https://doi.org/10.1016/j.tetlet.2010.10.099" TargetMode="External"/><Relationship Id="rId45" Type="http://schemas.openxmlformats.org/officeDocument/2006/relationships/hyperlink" Target="https://doi.org/10.1055/s-0030-1260046" TargetMode="External"/><Relationship Id="rId46" Type="http://schemas.openxmlformats.org/officeDocument/2006/relationships/hyperlink" Target="https://doi.org/10.1055/s-0033-1339648" TargetMode="External"/><Relationship Id="rId47" Type="http://schemas.openxmlformats.org/officeDocument/2006/relationships/hyperlink" Target="https://doi.org/10.3762/bjoc.11.41" TargetMode="External"/><Relationship Id="rId48" Type="http://schemas.openxmlformats.org/officeDocument/2006/relationships/hyperlink" Target="https://doi.org/10.1055/s-0036-1588919" TargetMode="External"/><Relationship Id="rId49" Type="http://schemas.openxmlformats.org/officeDocument/2006/relationships/hyperlink" Target="https://doi.org/10.5012/BKCS.2011.32.8.2970" TargetMode="External"/><Relationship Id="rId50" Type="http://schemas.openxmlformats.org/officeDocument/2006/relationships/hyperlink" Target="https://doi.org/10.1016/j.tetlet.2012.01.082" TargetMode="External"/><Relationship Id="rId51" Type="http://schemas.openxmlformats.org/officeDocument/2006/relationships/hyperlink" Target="https://doi.org/10.1134/s1070428013070087" TargetMode="External"/><Relationship Id="rId52" Type="http://schemas.openxmlformats.org/officeDocument/2006/relationships/hyperlink" Target="https://doi.org/10.1055/s-0029-1219090" TargetMode="External"/><Relationship Id="rId53" Type="http://schemas.openxmlformats.org/officeDocument/2006/relationships/hyperlink" Target="https://doi.org/10.1134/s1995078010070037" TargetMode="External"/><Relationship Id="rId54" Type="http://schemas.openxmlformats.org/officeDocument/2006/relationships/hyperlink" Target="https://doi.org/10.1039/c3cc42591f" TargetMode="External"/><Relationship Id="rId55" Type="http://schemas.openxmlformats.org/officeDocument/2006/relationships/hyperlink" Target="http://www.unece.org/trans/danger/danger.html" TargetMode="External"/><Relationship Id="rId56" Type="http://schemas.openxmlformats.org/officeDocument/2006/relationships/hyperlink" Target="https://doi.org/10.1016/0040-6031(93)80188-g" TargetMode="External"/><Relationship Id="rId57" Type="http://schemas.openxmlformats.org/officeDocument/2006/relationships/hyperlink" Target="https://doi.org/10.1063/1.1696991" TargetMode="External"/><Relationship Id="rId58" Type="http://schemas.openxmlformats.org/officeDocument/2006/relationships/hyperlink" Target="https://www.R-project.org/" TargetMode="External"/><Relationship Id="rId59" Type="http://schemas.openxmlformats.org/officeDocument/2006/relationships/hyperlink" Target="https://doi.org/10.1186/1471-2105-9-163" TargetMode="Externa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939</TotalTime>
  <Application>LibreOffice/5.2.7.2$Linux_X86_64 LibreOffice_project/20m0$Build-2</Application>
  <Pages>46</Pages>
  <Words>7700</Words>
  <Characters>45282</Characters>
  <CharactersWithSpaces>52525</CharactersWithSpaces>
  <Paragraphs>478</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2019-06-19T15:06:13Z</dcterms:modified>
  <cp:revision>126</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