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r>
        <w:rPr>
          <w:bCs/>
          <w:i/>
          <w:iCs/>
        </w:rPr>
        <w:t>Reviewer 4 raised the following issue: Page 15 line 50 and table 3, for compound 1a and 1d, DSC results show the decomposition reaction happens after melting (liquid phase reaction). The temperatures for Isothermal tests are not high enough to melt the samples. this may explain the low Pmax in isothermal tests. However, I don’t know how the authors get the full integrated ΔH from the isothermal test since there is not much reactivity observed in days. how long time is these isothermal tests?</w:t>
      </w:r>
    </w:p>
    <w:p>
      <w:pPr>
        <w:pStyle w:val="Normal"/>
        <w:rPr/>
      </w:pPr>
      <w:r>
        <w:rPr>
          <w:bCs/>
        </w:rPr>
        <w:t xml:space="preserve">Все эксперименты потоковой калориметрии мы </w:t>
      </w:r>
      <w:r>
        <w:rPr>
          <w:bCs/>
        </w:rPr>
        <w:t xml:space="preserve">специально </w:t>
      </w:r>
      <w:r>
        <w:rPr>
          <w:bCs/>
        </w:rPr>
        <w:t>проводили при температурах значительно меньших температур плавления</w:t>
      </w:r>
      <w:r>
        <w:rPr>
          <w:bCs/>
        </w:rPr>
        <w:t>, чтобы адекватно аппроксимировать кинетические кривые на нормальные условия</w:t>
      </w:r>
      <w:r>
        <w:rPr>
          <w:bCs/>
        </w:rPr>
        <w:t xml:space="preserve">. Для лучшего понимания, мы внесли величины температур плавления в таблицу 1. </w:t>
      </w:r>
    </w:p>
    <w:p>
      <w:pPr>
        <w:pStyle w:val="Normal"/>
        <w:rPr/>
      </w:pPr>
      <w:bookmarkStart w:id="0" w:name="__DdeLink__13768_3769047785"/>
      <w:r>
        <w:rPr>
          <w:bCs/>
        </w:rPr>
        <w:t xml:space="preserve">Изотермический тест проводился до снижения теплового потока менее 2 микровата uW, что составляет величину менее 1% от максимального теплового потока и соответствует степени конверсии α&gt;0.99. Абсолютное время варьировалось от </w:t>
      </w:r>
      <w:r>
        <w:rPr>
          <w:bCs/>
        </w:rPr>
        <w:t>1 дня</w:t>
      </w:r>
      <w:r>
        <w:rPr>
          <w:bCs/>
        </w:rPr>
        <w:t xml:space="preserve"> до 50 дней, с</w:t>
      </w:r>
      <w:r>
        <w:rPr>
          <w:bCs/>
        </w:rPr>
        <w:t>в зависимости от природы образца и температуры</w:t>
      </w:r>
      <w:r>
        <w:rPr>
          <w:bCs/>
        </w:rPr>
        <w:t>.</w:t>
      </w:r>
      <w:bookmarkEnd w:id="0"/>
      <w:r>
        <w:rPr>
          <w:bCs/>
        </w:rPr>
        <w:t xml:space="preserve"> </w:t>
      </w:r>
    </w:p>
    <w:p>
      <w:pPr>
        <w:pStyle w:val="Normal"/>
        <w:rPr/>
      </w:pPr>
      <w:r>
        <w:rPr>
          <w:bCs/>
        </w:rPr>
        <w:t xml:space="preserve">Энтальпия реакции рассчитывается путем интегрирования функции аппроксимирующей тепловой поток (уравнение 6) на интервале времени (0; </w:t>
      </w:r>
      <w:r>
        <w:rPr>
          <w:bCs/>
        </w:rPr>
        <w:t>бесконечности</w:t>
      </w:r>
      <w:r>
        <w:rPr>
          <w:bCs/>
        </w:rPr>
        <w:t xml:space="preserve">). Методику вычисления энтальпии мы добавили в текст статьи в описании уравнений 2, 4. </w:t>
      </w:r>
    </w:p>
    <w:p>
      <w:pPr>
        <w:pStyle w:val="Normal"/>
        <w:rPr>
          <w:bCs/>
          <w:highlight w:val="yellow"/>
        </w:rPr>
      </w:pPr>
      <w:r>
        <w:rPr/>
      </w:r>
    </w:p>
    <w:p>
      <w:pPr>
        <w:pStyle w:val="Normal"/>
        <w:rPr>
          <w:bCs/>
          <w:highlight w:val="yellow"/>
        </w:rPr>
      </w:pPr>
      <w:r>
        <w:rPr/>
      </w:r>
    </w:p>
    <w:p>
      <w:pPr>
        <w:pStyle w:val="Normal"/>
        <w:rPr/>
      </w:pPr>
      <w:r>
        <w:rPr>
          <w:bCs/>
          <w:highlight w:val="yellow"/>
        </w:rPr>
        <w:t xml:space="preserve">The following kinetic equation for autocatalytic reactions that was applied: </w:t>
      </w:r>
      <w:r>
        <w:rPr>
          <w:bCs/>
          <w:color w:val="127622"/>
          <w:highlight w:val="yellow"/>
        </w:rPr>
        <w:t xml:space="preserve"> </w:t>
      </w:r>
      <w:r>
        <w:rPr>
          <w:b/>
          <w:bCs/>
          <w:i/>
          <w:iCs/>
          <w:color w:val="auto"/>
          <w:sz w:val="28"/>
          <w:szCs w:val="28"/>
          <w:highlight w:val="yellow"/>
        </w:rPr>
        <w:t>a A </w:t>
      </w:r>
      <w:r>
        <w:rPr>
          <w:rFonts w:eastAsia="Liberation Serif" w:cs="Liberation Serif"/>
          <w:b/>
          <w:bCs/>
          <w:i/>
          <w:iCs/>
          <w:color w:val="auto"/>
          <w:sz w:val="28"/>
          <w:szCs w:val="28"/>
          <w:highlight w:val="yellow"/>
        </w:rPr>
        <w:t>→ </w:t>
      </w:r>
      <w:r>
        <w:rPr>
          <w:b/>
          <w:bCs/>
          <w:i/>
          <w:iCs/>
          <w:color w:val="auto"/>
          <w:sz w:val="28"/>
          <w:szCs w:val="28"/>
          <w:highlight w:val="yellow"/>
        </w:rPr>
        <w:t>c C</w:t>
      </w:r>
    </w:p>
    <w:p>
      <w:pPr>
        <w:pStyle w:val="TAMainText"/>
        <w:jc w:val="center"/>
        <w:rPr/>
      </w:pPr>
      <w:r>
        <w:rPr/>
        <w:drawing>
          <wp:inline distT="0" distB="0" distL="0" distR="0">
            <wp:extent cx="3063875" cy="2114550"/>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3063875" cy="2114550"/>
                    </a:xfrm>
                    <a:prstGeom prst="rect">
                      <a:avLst/>
                    </a:prstGeom>
                  </pic:spPr>
                </pic:pic>
              </a:graphicData>
            </a:graphic>
          </wp:inline>
        </w:drawing>
      </w:r>
      <w:r>
        <w:rPr>
          <w:color w:val="auto"/>
          <w:highlight w:val="yellow"/>
        </w:rPr>
        <w:t xml:space="preserve">   </w:t>
      </w:r>
      <w:r>
        <w:rPr>
          <w:rFonts w:eastAsia="Liberation Serif" w:cs="Liberation Serif"/>
          <w:color w:val="auto"/>
          <w:highlight w:val="yellow"/>
        </w:rPr>
        <w:t xml:space="preserve">    </w:t>
      </w:r>
    </w:p>
    <w:p>
      <w:pPr>
        <w:pStyle w:val="TAMainText"/>
        <w:rPr/>
      </w:pPr>
      <w:r>
        <w:rPr>
          <w:b w:val="false"/>
          <w:bCs w:val="false"/>
          <w:i w:val="false"/>
          <w:iCs w:val="false"/>
          <w:color w:val="auto"/>
          <w:sz w:val="24"/>
          <w:szCs w:val="24"/>
          <w:highlight w:val="yellow"/>
        </w:rPr>
        <w:t>Ф</w:t>
      </w:r>
      <w:r>
        <w:rPr>
          <w:b w:val="false"/>
          <w:bCs w:val="false"/>
          <w:i w:val="false"/>
          <w:iCs w:val="false"/>
          <w:color w:val="auto"/>
          <w:sz w:val="24"/>
          <w:szCs w:val="24"/>
          <w:highlight w:val="yellow"/>
        </w:rPr>
        <w:t xml:space="preserve">ормальное </w:t>
      </w:r>
      <w:r>
        <w:rPr>
          <w:b w:val="false"/>
          <w:bCs w:val="false"/>
          <w:i w:val="false"/>
          <w:iCs w:val="false"/>
          <w:color w:val="auto"/>
          <w:sz w:val="24"/>
          <w:szCs w:val="24"/>
          <w:highlight w:val="yellow"/>
          <w:lang w:val="ru-RU" w:eastAsia="en-US" w:bidi="ar-SA"/>
        </w:rPr>
        <w:t>кинетическое</w:t>
      </w:r>
      <w:r>
        <w:rPr>
          <w:b w:val="false"/>
          <w:bCs w:val="false"/>
          <w:i w:val="false"/>
          <w:iCs w:val="false"/>
          <w:color w:val="auto"/>
          <w:sz w:val="24"/>
          <w:szCs w:val="24"/>
          <w:highlight w:val="yellow"/>
        </w:rPr>
        <w:t xml:space="preserve"> уравнение </w:t>
      </w:r>
      <w:r>
        <w:rPr>
          <w:b w:val="false"/>
          <w:bCs w:val="false"/>
          <w:i w:val="false"/>
          <w:iCs w:val="false"/>
          <w:color w:val="auto"/>
          <w:sz w:val="24"/>
          <w:szCs w:val="24"/>
          <w:highlight w:val="yellow"/>
        </w:rPr>
        <w:t xml:space="preserve">2 используется </w:t>
      </w:r>
      <w:r>
        <w:rPr>
          <w:b w:val="false"/>
          <w:bCs w:val="false"/>
          <w:i w:val="false"/>
          <w:iCs w:val="false"/>
          <w:color w:val="auto"/>
          <w:sz w:val="24"/>
          <w:szCs w:val="24"/>
          <w:highlight w:val="yellow"/>
        </w:rPr>
        <w:t xml:space="preserve">для </w:t>
      </w:r>
      <w:r>
        <w:rPr>
          <w:b w:val="false"/>
          <w:bCs w:val="false"/>
          <w:i w:val="false"/>
          <w:iCs w:val="false"/>
          <w:color w:val="auto"/>
          <w:sz w:val="24"/>
          <w:szCs w:val="24"/>
          <w:highlight w:val="yellow"/>
        </w:rPr>
        <w:t xml:space="preserve">моделирования </w:t>
      </w:r>
      <w:r>
        <w:rPr>
          <w:b w:val="false"/>
          <w:bCs w:val="false"/>
          <w:i w:val="false"/>
          <w:iCs w:val="false"/>
          <w:color w:val="auto"/>
          <w:sz w:val="24"/>
          <w:szCs w:val="24"/>
          <w:highlight w:val="yellow"/>
        </w:rPr>
        <w:t xml:space="preserve">реакций в твердой фазе </w:t>
      </w:r>
      <w:r>
        <w:rPr>
          <w:b w:val="false"/>
          <w:bCs w:val="false"/>
          <w:i w:val="false"/>
          <w:iCs w:val="false"/>
          <w:color w:val="0000CC"/>
          <w:sz w:val="24"/>
          <w:szCs w:val="24"/>
          <w:highlight w:val="yellow"/>
          <w:vertAlign w:val="superscript"/>
        </w:rPr>
        <w:t>13</w:t>
      </w:r>
      <w:r>
        <w:rPr>
          <w:b w:val="false"/>
          <w:bCs w:val="false"/>
          <w:i w:val="false"/>
          <w:iCs w:val="false"/>
          <w:color w:val="auto"/>
          <w:sz w:val="24"/>
          <w:szCs w:val="24"/>
          <w:highlight w:val="yellow"/>
        </w:rPr>
        <w:t xml:space="preserve">, </w:t>
      </w:r>
      <w:r>
        <w:rPr>
          <w:b w:val="false"/>
          <w:bCs w:val="false"/>
          <w:i w:val="false"/>
          <w:iCs w:val="false"/>
          <w:color w:val="auto"/>
          <w:sz w:val="24"/>
          <w:szCs w:val="24"/>
          <w:highlight w:val="yellow"/>
        </w:rPr>
        <w:t xml:space="preserve">и </w:t>
      </w:r>
      <w:r>
        <w:rPr>
          <w:b w:val="false"/>
          <w:bCs w:val="false"/>
          <w:i w:val="false"/>
          <w:iCs w:val="false"/>
          <w:color w:val="auto"/>
          <w:sz w:val="24"/>
          <w:szCs w:val="24"/>
          <w:highlight w:val="yellow"/>
          <w:lang w:val="ru-RU" w:eastAsia="en-US" w:bidi="ar-SA"/>
        </w:rPr>
        <w:t>выраж</w:t>
      </w:r>
      <w:r>
        <w:rPr>
          <w:b w:val="false"/>
          <w:bCs w:val="false"/>
          <w:i w:val="false"/>
          <w:iCs w:val="false"/>
          <w:color w:val="auto"/>
          <w:sz w:val="24"/>
          <w:szCs w:val="24"/>
          <w:highlight w:val="yellow"/>
          <w:lang w:val="ru-RU" w:eastAsia="en-US" w:bidi="ar-SA"/>
        </w:rPr>
        <w:t>ается</w:t>
      </w:r>
      <w:r>
        <w:rPr>
          <w:b w:val="false"/>
          <w:bCs w:val="false"/>
          <w:i w:val="false"/>
          <w:iCs w:val="false"/>
          <w:color w:val="auto"/>
          <w:sz w:val="24"/>
          <w:szCs w:val="24"/>
          <w:highlight w:val="yellow"/>
        </w:rPr>
        <w:t xml:space="preserve"> </w:t>
      </w:r>
      <w:r>
        <w:rPr>
          <w:b w:val="false"/>
          <w:bCs w:val="false"/>
          <w:i w:val="false"/>
          <w:iCs w:val="false"/>
          <w:color w:val="auto"/>
          <w:sz w:val="24"/>
          <w:szCs w:val="24"/>
          <w:highlight w:val="yellow"/>
          <w:lang w:val="ru-RU" w:eastAsia="en-US" w:bidi="ar-SA"/>
        </w:rPr>
        <w:t>через</w:t>
      </w:r>
      <w:r>
        <w:rPr>
          <w:b w:val="false"/>
          <w:bCs w:val="false"/>
          <w:i w:val="false"/>
          <w:iCs w:val="false"/>
          <w:color w:val="auto"/>
          <w:sz w:val="24"/>
          <w:szCs w:val="24"/>
          <w:highlight w:val="yellow"/>
        </w:rPr>
        <w:t xml:space="preserve"> </w:t>
      </w:r>
      <w:r>
        <w:rPr>
          <w:b w:val="false"/>
          <w:bCs w:val="false"/>
          <w:i w:val="false"/>
          <w:iCs w:val="false"/>
          <w:color w:val="auto"/>
          <w:sz w:val="24"/>
          <w:szCs w:val="24"/>
          <w:highlight w:val="yellow"/>
        </w:rPr>
        <w:t>степень конверсии (</w:t>
      </w:r>
      <w:r>
        <w:rPr>
          <w:b w:val="false"/>
          <w:bCs w:val="false"/>
          <w:i w:val="false"/>
          <w:iCs w:val="false"/>
          <w:color w:val="auto"/>
          <w:sz w:val="24"/>
          <w:szCs w:val="24"/>
          <w:highlight w:val="yellow"/>
        </w:rPr>
        <w:t>conversion degree</w:t>
      </w:r>
      <w:r>
        <w:rPr>
          <w:b w:val="false"/>
          <w:bCs w:val="false"/>
          <w:i w:val="false"/>
          <w:iCs w:val="false"/>
          <w:color w:val="auto"/>
          <w:sz w:val="24"/>
          <w:szCs w:val="24"/>
          <w:highlight w:val="yellow"/>
        </w:rPr>
        <w:t>)</w:t>
      </w:r>
      <w:r>
        <w:rPr>
          <w:b w:val="false"/>
          <w:bCs w:val="false"/>
          <w:i w:val="false"/>
          <w:iCs w:val="false"/>
          <w:color w:val="auto"/>
          <w:sz w:val="24"/>
          <w:szCs w:val="24"/>
          <w:highlight w:val="yellow"/>
        </w:rPr>
        <w:t xml:space="preserve"> – </w:t>
      </w:r>
      <w:bookmarkStart w:id="1" w:name="MathJax-Span-17307"/>
      <w:bookmarkStart w:id="2" w:name="MathJax-Span-17306"/>
      <w:bookmarkStart w:id="3" w:name="MathJax-Span-17300"/>
      <w:bookmarkStart w:id="4" w:name="MathJax-Span-17299"/>
      <w:bookmarkStart w:id="5" w:name="MathJax-Element-621-Frame"/>
      <w:bookmarkEnd w:id="1"/>
      <w:bookmarkEnd w:id="2"/>
      <w:bookmarkEnd w:id="3"/>
      <w:bookmarkEnd w:id="4"/>
      <w:bookmarkEnd w:id="5"/>
      <w:r>
        <w:rPr>
          <w:rFonts w:ascii="MathJax Math" w:hAnsi="MathJax Math"/>
          <w:b w:val="false"/>
          <w:bCs w:val="false"/>
          <w:i w:val="false"/>
          <w:iCs w:val="false"/>
          <w:color w:val="auto"/>
          <w:sz w:val="24"/>
          <w:szCs w:val="24"/>
          <w:highlight w:val="yellow"/>
        </w:rPr>
        <w:t xml:space="preserve">α </w:t>
      </w:r>
      <w:r>
        <w:rPr>
          <w:b w:val="false"/>
          <w:bCs w:val="false"/>
          <w:i w:val="false"/>
          <w:iCs w:val="false"/>
          <w:color w:val="auto"/>
          <w:sz w:val="24"/>
          <w:szCs w:val="24"/>
          <w:highlight w:val="yellow"/>
        </w:rPr>
        <w:t>(уравнение 3).  f(</w:t>
      </w:r>
      <w:r>
        <w:rPr>
          <w:rFonts w:ascii="MathJax Math" w:hAnsi="MathJax Math"/>
          <w:b w:val="false"/>
          <w:bCs w:val="false"/>
          <w:i w:val="false"/>
          <w:iCs w:val="false"/>
          <w:color w:val="auto"/>
          <w:sz w:val="24"/>
          <w:szCs w:val="24"/>
          <w:highlight w:val="yellow"/>
        </w:rPr>
        <w:t>α</w:t>
      </w:r>
      <w:r>
        <w:rPr>
          <w:b w:val="false"/>
          <w:bCs w:val="false"/>
          <w:i w:val="false"/>
          <w:iCs w:val="false"/>
          <w:color w:val="auto"/>
          <w:sz w:val="24"/>
          <w:szCs w:val="24"/>
          <w:highlight w:val="yellow"/>
        </w:rPr>
        <w:t xml:space="preserve">) is the kinetic model in differential form (уравнение 4). </w:t>
      </w:r>
      <w:r>
        <w:rPr>
          <w:b w:val="false"/>
          <w:bCs w:val="false"/>
          <w:i w:val="false"/>
          <w:iCs w:val="false"/>
          <w:color w:val="auto"/>
          <w:sz w:val="24"/>
          <w:szCs w:val="24"/>
          <w:highlight w:val="yellow"/>
        </w:rPr>
        <w:t>К</w:t>
      </w:r>
      <w:r>
        <w:rPr>
          <w:b w:val="false"/>
          <w:bCs w:val="false"/>
          <w:i w:val="false"/>
          <w:iCs w:val="false"/>
          <w:color w:val="auto"/>
          <w:sz w:val="24"/>
          <w:szCs w:val="24"/>
          <w:highlight w:val="yellow"/>
        </w:rPr>
        <w:t>инетические кривые для исследуемых нами реакций лучше всего описывается уравнени</w:t>
      </w:r>
      <w:r>
        <w:rPr>
          <w:b w:val="false"/>
          <w:bCs w:val="false"/>
          <w:i w:val="false"/>
          <w:iCs w:val="false"/>
          <w:color w:val="auto"/>
          <w:sz w:val="24"/>
          <w:szCs w:val="24"/>
          <w:highlight w:val="yellow"/>
        </w:rPr>
        <w:t>ем 4 при</w:t>
      </w:r>
      <w:r>
        <w:rPr>
          <w:b w:val="false"/>
          <w:bCs w:val="false"/>
          <w:i w:val="false"/>
          <w:iCs w:val="false"/>
          <w:color w:val="auto"/>
          <w:sz w:val="24"/>
          <w:szCs w:val="24"/>
          <w:highlight w:val="yellow"/>
        </w:rPr>
        <w:t xml:space="preserve"> m=1, n=1. A</w:t>
      </w:r>
      <w:r>
        <w:rPr>
          <w:b w:val="false"/>
          <w:bCs w:val="false"/>
          <w:i w:val="false"/>
          <w:iCs w:val="false"/>
          <w:color w:val="auto"/>
          <w:sz w:val="24"/>
          <w:szCs w:val="24"/>
          <w:highlight w:val="yellow"/>
          <w:vertAlign w:val="subscript"/>
        </w:rPr>
        <w:t>0</w:t>
      </w:r>
      <w:r>
        <w:rPr>
          <w:b w:val="false"/>
          <w:bCs w:val="false"/>
          <w:i w:val="false"/>
          <w:iCs w:val="false"/>
          <w:color w:val="auto"/>
          <w:position w:val="0"/>
          <w:sz w:val="24"/>
          <w:sz w:val="24"/>
          <w:szCs w:val="24"/>
          <w:highlight w:val="yellow"/>
          <w:vertAlign w:val="baseline"/>
        </w:rPr>
        <w:t>, A</w:t>
      </w:r>
      <w:r>
        <w:rPr>
          <w:b w:val="false"/>
          <w:bCs w:val="false"/>
          <w:i w:val="false"/>
          <w:iCs w:val="false"/>
          <w:color w:val="auto"/>
          <w:sz w:val="24"/>
          <w:szCs w:val="24"/>
          <w:highlight w:val="yellow"/>
        </w:rPr>
        <w:t xml:space="preserve"> – initial  and current concentration of DS, which for solid-phase reactions is measured in в mol/g units; С</w:t>
      </w:r>
      <w:r>
        <w:rPr>
          <w:b w:val="false"/>
          <w:bCs w:val="false"/>
          <w:i w:val="false"/>
          <w:iCs w:val="false"/>
          <w:color w:val="auto"/>
          <w:sz w:val="24"/>
          <w:szCs w:val="24"/>
          <w:highlight w:val="yellow"/>
          <w:vertAlign w:val="subscript"/>
        </w:rPr>
        <w:t>0</w:t>
      </w:r>
      <w:r>
        <w:rPr>
          <w:b w:val="false"/>
          <w:bCs w:val="false"/>
          <w:i w:val="false"/>
          <w:iCs w:val="false"/>
          <w:color w:val="auto"/>
          <w:sz w:val="24"/>
          <w:szCs w:val="24"/>
          <w:highlight w:val="yellow"/>
        </w:rPr>
        <w:t>, С – initial and current concentrations of products, [mol/g]; k– rate constant, [c</w:t>
      </w:r>
      <w:r>
        <w:rPr>
          <w:b w:val="false"/>
          <w:bCs w:val="false"/>
          <w:i w:val="false"/>
          <w:iCs w:val="false"/>
          <w:color w:val="auto"/>
          <w:sz w:val="24"/>
          <w:szCs w:val="24"/>
          <w:highlight w:val="yellow"/>
          <w:vertAlign w:val="superscript"/>
        </w:rPr>
        <w:t>-1</w:t>
      </w:r>
      <w:r>
        <w:rPr>
          <w:b w:val="false"/>
          <w:bCs w:val="false"/>
          <w:i w:val="false"/>
          <w:iCs w:val="false"/>
          <w:color w:val="auto"/>
          <w:sz w:val="24"/>
          <w:szCs w:val="24"/>
          <w:highlight w:val="yellow"/>
        </w:rPr>
        <w:t>]; a, c - stoichiometric coefficients, for the processes studied a/c=1. Температурная зависимость скорости реакции выражается уравнением Аррениуса (5). P, P</w:t>
      </w:r>
      <w:r>
        <w:rPr>
          <w:b w:val="false"/>
          <w:bCs w:val="false"/>
          <w:i w:val="false"/>
          <w:iCs w:val="false"/>
          <w:color w:val="auto"/>
          <w:sz w:val="24"/>
          <w:szCs w:val="24"/>
          <w:highlight w:val="yellow"/>
          <w:vertAlign w:val="subscript"/>
        </w:rPr>
        <w:t>0</w:t>
      </w:r>
      <w:r>
        <w:rPr>
          <w:b w:val="false"/>
          <w:bCs w:val="false"/>
          <w:i w:val="false"/>
          <w:iCs w:val="false"/>
          <w:color w:val="auto"/>
          <w:sz w:val="24"/>
          <w:szCs w:val="24"/>
          <w:highlight w:val="yellow"/>
        </w:rPr>
        <w:t xml:space="preserve"> – current and initial heat flow). Энтальпия реакции рассчитывается </w:t>
      </w:r>
      <w:r>
        <w:rPr>
          <w:b w:val="false"/>
          <w:bCs w:val="false"/>
          <w:i w:val="false"/>
          <w:iCs w:val="false"/>
          <w:color w:val="auto"/>
          <w:sz w:val="24"/>
          <w:szCs w:val="24"/>
          <w:highlight w:val="yellow"/>
        </w:rPr>
        <w:t>путем</w:t>
      </w:r>
      <w:r>
        <w:rPr>
          <w:b w:val="false"/>
          <w:bCs w:val="false"/>
          <w:i w:val="false"/>
          <w:iCs w:val="false"/>
          <w:color w:val="auto"/>
          <w:sz w:val="24"/>
          <w:szCs w:val="24"/>
          <w:highlight w:val="yellow"/>
        </w:rPr>
        <w:t xml:space="preserve"> интегрирования </w:t>
      </w:r>
      <w:r>
        <w:rPr>
          <w:b w:val="false"/>
          <w:bCs w:val="false"/>
          <w:i w:val="false"/>
          <w:iCs w:val="false"/>
          <w:color w:val="auto"/>
          <w:sz w:val="24"/>
          <w:szCs w:val="24"/>
          <w:highlight w:val="yellow"/>
        </w:rPr>
        <w:t>функции</w:t>
      </w:r>
      <w:r>
        <w:rPr>
          <w:b w:val="false"/>
          <w:bCs w:val="false"/>
          <w:i w:val="false"/>
          <w:iCs w:val="false"/>
          <w:color w:val="auto"/>
          <w:sz w:val="24"/>
          <w:szCs w:val="24"/>
          <w:highlight w:val="yellow"/>
        </w:rPr>
        <w:t xml:space="preserve"> аппроксимирующей тепловой поток (уравнение 6) на интервале времени (0; Inf). Период полураспада соответствует времени когда степень конверсии </w:t>
      </w:r>
      <w:r>
        <w:rPr>
          <w:rFonts w:ascii="MathJax Math" w:hAnsi="MathJax Math"/>
          <w:b w:val="false"/>
          <w:bCs w:val="false"/>
          <w:i w:val="false"/>
          <w:iCs w:val="false"/>
          <w:color w:val="auto"/>
          <w:sz w:val="24"/>
          <w:szCs w:val="24"/>
          <w:highlight w:val="yellow"/>
        </w:rPr>
        <w:t>α</w:t>
      </w:r>
      <w:r>
        <w:rPr>
          <w:b w:val="false"/>
          <w:bCs w:val="false"/>
          <w:i w:val="false"/>
          <w:iCs w:val="false"/>
          <w:color w:val="auto"/>
          <w:sz w:val="24"/>
          <w:szCs w:val="24"/>
          <w:highlight w:val="yellow"/>
        </w:rPr>
        <w:t>=0.5, в следствие симметричности аппроксимирующей кинетической кривой 4, время полураспада совпадает с достижении максимального теплового потока (в случае более сложной кинетики, этот правило не выполняется).</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athJax Math">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TAMainText">
    <w:name w:val="TA_Main_Text"/>
    <w:basedOn w:val="Normal"/>
    <w:qFormat/>
    <w:pPr>
      <w:spacing w:lineRule="auto" w:line="480" w:before="0" w:after="0"/>
      <w:ind w:firstLine="20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LibreOffice/6.1.5.2$Linux_X86_64 LibreOffice_project/10$Build-2</Application>
  <Pages>2</Pages>
  <Words>351</Words>
  <Characters>2165</Characters>
  <CharactersWithSpaces>2527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2019-08-30T13:36:53Z</dcterms:created>
  <dc:creator/>
  <dc:description/>
  <dc:language>ru-RU</dc:language>
  <cp:lastModifiedBy/>
  <dcterms:modified xsi:type="dcterms:W3CDTF">2019-08-30T13:58:14Z</dcterms:modified>
  <cp:revision>2</cp:revision>
  <dc:subject/>
  <dc:title/>
</cp:coreProperties>
</file>