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lang w:val="en-US"/>
        </w:rPr>
      </w:pPr>
      <w:r>
        <w:rPr>
          <w:bCs/>
          <w:i/>
          <w:iCs/>
          <w:lang w:val="en-US"/>
        </w:rPr>
        <w:t xml:space="preserve">Reviewer 4 raised the following issue: Page 15 line 50 and table 3, for compound 1a and 1d, DSC results show the decomposition reaction happens after melting (liquid phase reaction). The temperatures for Isothermal tests are not high enough to melt the samples. this may explain the low Pmax in isothermal tests. However, I don’t know how the authors get the full integrated </w:t>
      </w:r>
      <w:r>
        <w:rPr>
          <w:bCs/>
          <w:i/>
          <w:iCs/>
        </w:rPr>
        <w:t>Δ</w:t>
      </w:r>
      <w:r>
        <w:rPr>
          <w:bCs/>
          <w:i/>
          <w:iCs/>
          <w:lang w:val="en-US"/>
        </w:rPr>
        <w:t>H from the isothermal test since there is not much reactivity observed in days. how long time is these isothermal tests?</w:t>
      </w:r>
    </w:p>
    <w:p>
      <w:pPr>
        <w:pStyle w:val="Normal"/>
        <w:rPr>
          <w:bCs/>
        </w:rPr>
      </w:pPr>
      <w:r>
        <w:rPr>
          <w:bCs/>
        </w:rPr>
      </w:r>
    </w:p>
    <w:p>
      <w:pPr>
        <w:pStyle w:val="Normal"/>
        <w:rPr>
          <w:rFonts w:ascii="Times New Roman" w:hAnsi="Times New Roman" w:cs="Times New Roman"/>
          <w:lang w:val="en-US"/>
        </w:rPr>
      </w:pPr>
      <w:r>
        <w:rPr>
          <w:rFonts w:cs="Times New Roman" w:ascii="Times New Roman" w:hAnsi="Times New Roman"/>
          <w:lang w:val="en-US"/>
        </w:rPr>
        <w:t xml:space="preserve">We conducted all flow calorimetry experiments at temperatures significantly lower than the melting points in order to adequately approximate kinetic curves to normal conditions. To clarify the issue, we added the melting points to the Table 1 in the revised manuscript. </w:t>
      </w:r>
    </w:p>
    <w:p>
      <w:pPr>
        <w:pStyle w:val="Normal"/>
        <w:rPr>
          <w:rFonts w:ascii="Times New Roman" w:hAnsi="Times New Roman" w:cs="Times New Roman"/>
          <w:lang w:val="en-US"/>
        </w:rPr>
      </w:pPr>
      <w:r>
        <w:rPr>
          <w:rFonts w:cs="Times New Roman" w:ascii="Times New Roman" w:hAnsi="Times New Roman"/>
          <w:lang w:val="en-US"/>
        </w:rPr>
        <w:t xml:space="preserve">The isothermal test was carried out until the heat flux decreased below 2 μW. This value is less than 1% of the maximum heat flux and corresponds to the conversion degree </w:t>
      </w:r>
      <w:r>
        <w:rPr>
          <w:rFonts w:cs="Times New Roman" w:ascii="Times New Roman" w:hAnsi="Times New Roman"/>
        </w:rPr>
        <w:t>α</w:t>
      </w:r>
      <w:r>
        <w:rPr>
          <w:rFonts w:cs="Times New Roman" w:ascii="Times New Roman" w:hAnsi="Times New Roman"/>
          <w:lang w:val="en-US"/>
        </w:rPr>
        <w:t xml:space="preserve">&gt; 0.99. Time was varied from several hours to 50 days depending on sample and temperature. </w:t>
      </w:r>
    </w:p>
    <w:p>
      <w:pPr>
        <w:pStyle w:val="Normal"/>
        <w:rPr>
          <w:rFonts w:ascii="Times New Roman" w:hAnsi="Times New Roman" w:cs="Times New Roman"/>
          <w:lang w:val="en-US"/>
        </w:rPr>
      </w:pPr>
      <w:r>
        <w:rPr>
          <w:rFonts w:cs="Times New Roman" w:ascii="Times New Roman" w:hAnsi="Times New Roman"/>
          <w:lang w:val="en-US"/>
        </w:rPr>
        <w:t xml:space="preserve">The reaction enthalpy was calculated by integrating a curve approximating the experimental heat flux (equation 6), in the time interval (0, </w:t>
      </w:r>
      <w:r>
        <w:rPr>
          <w:rFonts w:eastAsia="Liberation Serif" w:cs="Liberation Serif"/>
          <w:lang w:val="en-US"/>
        </w:rPr>
        <w:t>∞</w:t>
      </w:r>
      <w:r>
        <w:rPr>
          <w:rFonts w:cs="Times New Roman" w:ascii="Times New Roman" w:hAnsi="Times New Roman"/>
          <w:lang w:val="en-US"/>
        </w:rPr>
        <w:t>). We added the calculation algorithm to the description of equations (2) and (4) in the revised manuscript.</w:t>
      </w:r>
    </w:p>
    <w:p>
      <w:pPr>
        <w:pStyle w:val="Normal"/>
        <w:rPr>
          <w:rFonts w:ascii="Times New Roman" w:hAnsi="Times New Roman" w:cs="Times New Roman"/>
          <w:lang w:val="en-US"/>
        </w:rPr>
      </w:pPr>
      <w:r>
        <w:rPr>
          <w:rFonts w:cs="Times New Roman" w:ascii="Times New Roman" w:hAnsi="Times New Roman"/>
          <w:lang w:val="en-US"/>
        </w:rPr>
      </w:r>
    </w:p>
    <w:p>
      <w:pPr>
        <w:pStyle w:val="Normal"/>
        <w:rPr>
          <w:bCs/>
          <w:highlight w:val="yellow"/>
          <w:lang w:val="en-US"/>
        </w:rPr>
      </w:pPr>
      <w:r>
        <w:rPr>
          <w:bCs/>
          <w:highlight w:val="yellow"/>
          <w:lang w:val="en-US"/>
        </w:rPr>
      </w:r>
    </w:p>
    <w:p>
      <w:pPr>
        <w:pStyle w:val="Normal"/>
        <w:rPr>
          <w:lang w:val="en-US"/>
        </w:rPr>
      </w:pPr>
      <w:r>
        <w:rPr>
          <w:bCs/>
          <w:highlight w:val="yellow"/>
          <w:lang w:val="en-US"/>
        </w:rPr>
        <w:t xml:space="preserve">The following kinetic equation describing autocatalytic reaction was applied: </w:t>
      </w:r>
      <w:r>
        <w:rPr>
          <w:b/>
          <w:bCs/>
          <w:i/>
          <w:iCs/>
          <w:sz w:val="28"/>
          <w:szCs w:val="28"/>
          <w:highlight w:val="yellow"/>
          <w:lang w:val="en-US"/>
        </w:rPr>
        <w:t>a A </w:t>
      </w:r>
      <w:r>
        <w:rPr>
          <w:rFonts w:eastAsia="Liberation Serif" w:cs="Liberation Serif"/>
          <w:b/>
          <w:bCs/>
          <w:i/>
          <w:iCs/>
          <w:sz w:val="28"/>
          <w:szCs w:val="28"/>
          <w:highlight w:val="yellow"/>
          <w:lang w:val="en-US"/>
        </w:rPr>
        <w:t>→ </w:t>
      </w:r>
      <w:r>
        <w:rPr>
          <w:b/>
          <w:bCs/>
          <w:i/>
          <w:iCs/>
          <w:sz w:val="28"/>
          <w:szCs w:val="28"/>
          <w:highlight w:val="yellow"/>
          <w:lang w:val="en-US"/>
        </w:rPr>
        <w:t>c C</w:t>
      </w:r>
    </w:p>
    <w:p>
      <w:pPr>
        <w:pStyle w:val="TAMainText"/>
        <w:jc w:val="center"/>
        <w:rPr>
          <w:lang w:val="en-US"/>
        </w:rPr>
      </w:pPr>
      <w:r>
        <w:rPr/>
        <w:drawing>
          <wp:inline distT="0" distB="0" distL="0" distR="0">
            <wp:extent cx="3063875" cy="2114550"/>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3063875" cy="2114550"/>
                    </a:xfrm>
                    <a:prstGeom prst="rect">
                      <a:avLst/>
                    </a:prstGeom>
                  </pic:spPr>
                </pic:pic>
              </a:graphicData>
            </a:graphic>
          </wp:inline>
        </w:drawing>
      </w:r>
      <w:r>
        <w:rPr>
          <w:lang w:val="en-US"/>
        </w:rPr>
        <w:t>,</w:t>
      </w:r>
    </w:p>
    <w:p>
      <w:pPr>
        <w:pStyle w:val="TAMainText"/>
        <w:jc w:val="both"/>
        <w:rPr/>
      </w:pPr>
      <w:r>
        <w:rPr>
          <w:highlight w:val="yellow"/>
          <w:lang w:val="en-US"/>
        </w:rPr>
        <w:t xml:space="preserve">where </w:t>
      </w:r>
      <w:r>
        <w:rPr>
          <w:rFonts w:ascii="MathJax Math" w:hAnsi="MathJax Math"/>
          <w:highlight w:val="yellow"/>
        </w:rPr>
        <w:t>α</w:t>
      </w:r>
      <w:r>
        <w:rPr>
          <w:rFonts w:ascii="MathJax Math" w:hAnsi="MathJax Math"/>
          <w:highlight w:val="yellow"/>
          <w:lang w:val="en-US"/>
        </w:rPr>
        <w:t xml:space="preserve"> </w:t>
      </w:r>
      <w:r>
        <w:rPr>
          <w:highlight w:val="yellow"/>
          <w:lang w:val="en-US"/>
        </w:rPr>
        <w:t>–</w:t>
      </w:r>
      <w:r>
        <w:rPr>
          <w:rFonts w:ascii="MathJax Math" w:hAnsi="MathJax Math"/>
          <w:highlight w:val="yellow"/>
          <w:lang w:val="en-US"/>
        </w:rPr>
        <w:t xml:space="preserve"> </w:t>
      </w:r>
      <w:r>
        <w:rPr>
          <w:highlight w:val="yellow"/>
          <w:lang w:val="en-US"/>
        </w:rPr>
        <w:t xml:space="preserve">conversion degree; </w:t>
      </w:r>
      <w:r>
        <w:rPr>
          <w:i/>
          <w:iCs/>
          <w:highlight w:val="yellow"/>
          <w:lang w:val="en-US"/>
        </w:rPr>
        <w:t xml:space="preserve">k(T) </w:t>
      </w:r>
      <w:r>
        <w:rPr>
          <w:highlight w:val="yellow"/>
          <w:lang w:val="en-US"/>
        </w:rPr>
        <w:t>– rate constant, [s</w:t>
      </w:r>
      <w:r>
        <w:rPr>
          <w:highlight w:val="yellow"/>
          <w:vertAlign w:val="superscript"/>
          <w:lang w:val="en-US"/>
        </w:rPr>
        <w:t>-1</w:t>
      </w:r>
      <w:r>
        <w:rPr>
          <w:highlight w:val="yellow"/>
          <w:lang w:val="en-US"/>
        </w:rPr>
        <w:t xml:space="preserve">]; </w:t>
      </w:r>
      <w:r>
        <w:rPr>
          <w:i/>
          <w:iCs/>
          <w:highlight w:val="yellow"/>
          <w:lang w:val="en-US"/>
        </w:rPr>
        <w:t>f(</w:t>
      </w:r>
      <w:r>
        <w:rPr>
          <w:rFonts w:ascii="MathJax Math" w:hAnsi="MathJax Math"/>
          <w:i/>
          <w:iCs/>
          <w:highlight w:val="yellow"/>
        </w:rPr>
        <w:t>α</w:t>
      </w:r>
      <w:r>
        <w:rPr>
          <w:i/>
          <w:iCs/>
          <w:highlight w:val="yellow"/>
          <w:lang w:val="en-US"/>
        </w:rPr>
        <w:t>)</w:t>
      </w:r>
      <w:r>
        <w:rPr>
          <w:highlight w:val="yellow"/>
          <w:lang w:val="en-US"/>
        </w:rPr>
        <w:t xml:space="preserve"> – the kinetic model in differential form;</w:t>
      </w:r>
      <w:r>
        <w:rPr>
          <w:i/>
          <w:iCs/>
          <w:highlight w:val="yellow"/>
          <w:lang w:val="en-US"/>
        </w:rPr>
        <w:t xml:space="preserve"> A</w:t>
      </w:r>
      <w:r>
        <w:rPr>
          <w:i/>
          <w:iCs/>
          <w:highlight w:val="yellow"/>
          <w:vertAlign w:val="subscript"/>
          <w:lang w:val="en-US"/>
        </w:rPr>
        <w:t>0</w:t>
      </w:r>
      <w:r>
        <w:rPr>
          <w:highlight w:val="yellow"/>
          <w:lang w:val="en-US"/>
        </w:rPr>
        <w:t xml:space="preserve">, </w:t>
      </w:r>
      <w:r>
        <w:rPr>
          <w:i/>
          <w:iCs/>
          <w:highlight w:val="yellow"/>
          <w:lang w:val="en-US"/>
        </w:rPr>
        <w:t>A</w:t>
      </w:r>
      <w:r>
        <w:rPr>
          <w:highlight w:val="yellow"/>
          <w:lang w:val="en-US"/>
        </w:rPr>
        <w:t xml:space="preserve"> – initial and current concentration of DS, which for solid-phase reactions is measured in mol/g units; </w:t>
      </w:r>
      <w:r>
        <w:rPr>
          <w:i/>
          <w:iCs/>
          <w:highlight w:val="yellow"/>
        </w:rPr>
        <w:t>С</w:t>
      </w:r>
      <w:r>
        <w:rPr>
          <w:i/>
          <w:iCs/>
          <w:highlight w:val="yellow"/>
          <w:vertAlign w:val="subscript"/>
          <w:lang w:val="en-US"/>
        </w:rPr>
        <w:t>0</w:t>
      </w:r>
      <w:r>
        <w:rPr>
          <w:highlight w:val="yellow"/>
          <w:lang w:val="en-US"/>
        </w:rPr>
        <w:t xml:space="preserve">, </w:t>
      </w:r>
      <w:r>
        <w:rPr>
          <w:i/>
          <w:iCs/>
          <w:highlight w:val="yellow"/>
        </w:rPr>
        <w:t>С</w:t>
      </w:r>
      <w:r>
        <w:rPr>
          <w:highlight w:val="yellow"/>
          <w:lang w:val="en-US"/>
        </w:rPr>
        <w:t xml:space="preserve"> – initial and current concentrations of products, [mol/g]; </w:t>
      </w:r>
      <w:r>
        <w:rPr>
          <w:i/>
          <w:iCs/>
          <w:highlight w:val="yellow"/>
          <w:lang w:val="en-US"/>
        </w:rPr>
        <w:t>a</w:t>
      </w:r>
      <w:r>
        <w:rPr>
          <w:highlight w:val="yellow"/>
          <w:lang w:val="en-US"/>
        </w:rPr>
        <w:t xml:space="preserve">, </w:t>
      </w:r>
      <w:r>
        <w:rPr>
          <w:i/>
          <w:iCs/>
          <w:highlight w:val="yellow"/>
          <w:lang w:val="en-US"/>
        </w:rPr>
        <w:t>c</w:t>
      </w:r>
      <w:r>
        <w:rPr>
          <w:highlight w:val="yellow"/>
          <w:lang w:val="en-US"/>
        </w:rPr>
        <w:t xml:space="preserve"> – stoichiometric coefficients, for the processes studied </w:t>
      </w:r>
      <w:r>
        <w:rPr>
          <w:i/>
          <w:iCs/>
          <w:highlight w:val="yellow"/>
          <w:lang w:val="en-US"/>
        </w:rPr>
        <w:t>a/c</w:t>
      </w:r>
      <w:r>
        <w:rPr>
          <w:highlight w:val="yellow"/>
          <w:lang w:val="en-US"/>
        </w:rPr>
        <w:t xml:space="preserve">=1; </w:t>
      </w:r>
      <w:r>
        <w:rPr>
          <w:i/>
          <w:iCs/>
          <w:highlight w:val="yellow"/>
          <w:lang w:val="en-US"/>
        </w:rPr>
        <w:t>P</w:t>
      </w:r>
      <w:r>
        <w:rPr>
          <w:highlight w:val="yellow"/>
          <w:lang w:val="en-US"/>
        </w:rPr>
        <w:t xml:space="preserve">, </w:t>
      </w:r>
      <w:r>
        <w:rPr>
          <w:i/>
          <w:iCs/>
          <w:highlight w:val="yellow"/>
          <w:lang w:val="en-US"/>
        </w:rPr>
        <w:t>P</w:t>
      </w:r>
      <w:r>
        <w:rPr>
          <w:i/>
          <w:iCs/>
          <w:highlight w:val="yellow"/>
          <w:vertAlign w:val="subscript"/>
          <w:lang w:val="en-US"/>
        </w:rPr>
        <w:t>0</w:t>
      </w:r>
      <w:r>
        <w:rPr>
          <w:highlight w:val="yellow"/>
          <w:lang w:val="en-US"/>
        </w:rPr>
        <w:t xml:space="preserve"> – current and initial heat flow; </w:t>
      </w:r>
      <w:commentRangeStart w:id="0"/>
      <w:r>
        <w:rPr>
          <w:rFonts w:cs="Times New Roman" w:ascii="Times New Roman" w:hAnsi="Times New Roman"/>
          <w:i/>
          <w:iCs/>
          <w:highlight w:val="yellow"/>
          <w:lang w:val="en-US"/>
        </w:rPr>
        <w:t>Δ</w:t>
      </w:r>
      <w:r>
        <w:rPr>
          <w:i/>
          <w:iCs/>
          <w:highlight w:val="yellow"/>
          <w:lang w:val="en-US"/>
        </w:rPr>
        <w:t>H</w:t>
      </w:r>
      <w:r>
        <w:rPr>
          <w:highlight w:val="yellow"/>
          <w:lang w:val="en-US"/>
        </w:rPr>
        <w:t xml:space="preserve"> – </w:t>
      </w:r>
      <w:r>
        <w:rPr>
          <w:rFonts w:cs="Times New Roman" w:ascii="Times New Roman" w:hAnsi="Times New Roman"/>
          <w:highlight w:val="yellow"/>
          <w:lang w:val="en-US"/>
        </w:rPr>
        <w:t xml:space="preserve">reaction enthalpy; </w:t>
      </w:r>
      <w:r>
        <w:rPr>
          <w:rFonts w:cs="Times New Roman" w:ascii="Times New Roman" w:hAnsi="Times New Roman"/>
          <w:i/>
          <w:iCs/>
          <w:highlight w:val="yellow"/>
          <w:lang w:val="en-US"/>
        </w:rPr>
        <w:t>B</w:t>
      </w:r>
      <w:r>
        <w:rPr>
          <w:rFonts w:cs="Times New Roman" w:ascii="Times New Roman" w:hAnsi="Times New Roman"/>
          <w:highlight w:val="yellow"/>
          <w:lang w:val="en-US"/>
        </w:rPr>
        <w:t xml:space="preserve"> - is the pre-exponential factor, a constant for each chemical reaction; </w:t>
      </w:r>
      <w:r>
        <w:rPr>
          <w:rFonts w:cs="Times New Roman" w:ascii="Times New Roman" w:hAnsi="Times New Roman"/>
          <w:i/>
          <w:iCs/>
          <w:highlight w:val="yellow"/>
          <w:lang w:val="en-US"/>
        </w:rPr>
        <w:t>E</w:t>
      </w:r>
      <w:r>
        <w:rPr>
          <w:rFonts w:cs="Times New Roman" w:ascii="Times New Roman" w:hAnsi="Times New Roman"/>
          <w:i/>
          <w:iCs/>
          <w:highlight w:val="yellow"/>
          <w:vertAlign w:val="subscript"/>
          <w:lang w:val="en-US"/>
        </w:rPr>
        <w:t>a</w:t>
      </w:r>
      <w:r>
        <w:rPr>
          <w:rFonts w:cs="Times New Roman" w:ascii="Times New Roman" w:hAnsi="Times New Roman"/>
          <w:highlight w:val="yellow"/>
          <w:lang w:val="en-US"/>
        </w:rPr>
        <w:t xml:space="preserve"> - an experimentally determined parameter that indicates the sensitivity of the reaction rate to temperature; </w:t>
      </w:r>
      <w:r>
        <w:rPr>
          <w:rFonts w:cs="Times New Roman" w:ascii="Times New Roman" w:hAnsi="Times New Roman"/>
          <w:i/>
          <w:iCs/>
          <w:highlight w:val="yellow"/>
          <w:lang w:val="en-US"/>
        </w:rPr>
        <w:t>R</w:t>
      </w:r>
      <w:r>
        <w:rPr>
          <w:rFonts w:cs="Times New Roman" w:ascii="Times New Roman" w:hAnsi="Times New Roman"/>
          <w:highlight w:val="yellow"/>
          <w:lang w:val="en-US"/>
        </w:rPr>
        <w:t xml:space="preserve"> is the universal gas constant (8.315 J⋅K</w:t>
      </w:r>
      <w:r>
        <w:rPr>
          <w:rFonts w:cs="Times New Roman" w:ascii="Times New Roman" w:hAnsi="Times New Roman"/>
          <w:highlight w:val="yellow"/>
          <w:vertAlign w:val="superscript"/>
          <w:lang w:val="en-US"/>
        </w:rPr>
        <w:t>−1</w:t>
      </w:r>
      <w:r>
        <w:rPr>
          <w:rFonts w:cs="Times New Roman" w:ascii="Times New Roman" w:hAnsi="Times New Roman"/>
          <w:highlight w:val="yellow"/>
          <w:lang w:val="en-US"/>
        </w:rPr>
        <w:t>⋅mol</w:t>
      </w:r>
      <w:r>
        <w:rPr>
          <w:rFonts w:cs="Times New Roman" w:ascii="Times New Roman" w:hAnsi="Times New Roman"/>
          <w:highlight w:val="yellow"/>
          <w:vertAlign w:val="superscript"/>
          <w:lang w:val="en-US"/>
        </w:rPr>
        <w:t>−1</w:t>
      </w:r>
      <w:r>
        <w:rPr>
          <w:rFonts w:cs="Times New Roman" w:ascii="Times New Roman" w:hAnsi="Times New Roman"/>
          <w:highlight w:val="yellow"/>
          <w:lang w:val="en-US"/>
        </w:rPr>
        <w:t xml:space="preserve">); </w:t>
      </w:r>
      <w:r>
        <w:rPr>
          <w:rFonts w:cs="Times New Roman" w:ascii="Times New Roman" w:hAnsi="Times New Roman"/>
          <w:i/>
          <w:iCs/>
          <w:highlight w:val="yellow"/>
          <w:lang w:val="en-US"/>
        </w:rPr>
        <w:t>T</w:t>
      </w:r>
      <w:r>
        <w:rPr>
          <w:rFonts w:cs="Times New Roman" w:ascii="Times New Roman" w:hAnsi="Times New Roman"/>
          <w:highlight w:val="yellow"/>
          <w:lang w:val="en-US"/>
        </w:rPr>
        <w:t xml:space="preserve"> is the absolute temperature (in Kelvin)</w:t>
      </w:r>
      <w:r>
        <w:rPr>
          <w:rFonts w:cs="Times New Roman" w:ascii="Times New Roman" w:hAnsi="Times New Roman"/>
          <w:highlight w:val="darkYellow"/>
          <w:lang w:val="en-US"/>
        </w:rPr>
        <w:t xml:space="preserve">. </w:t>
      </w:r>
      <w:commentRangeEnd w:id="0"/>
      <w:r>
        <w:commentReference w:id="0"/>
      </w:r>
      <w:r>
        <w:rPr>
          <w:rFonts w:cs="Times New Roman" w:ascii="Times New Roman" w:hAnsi="Times New Roman"/>
          <w:highlight w:val="darkYellow"/>
          <w:lang w:val="en-US"/>
        </w:rPr>
      </w:r>
    </w:p>
    <w:p>
      <w:pPr>
        <w:pStyle w:val="TAMainText"/>
        <w:rPr>
          <w:highlight w:val="yellow"/>
          <w:lang w:val="en-US"/>
        </w:rPr>
      </w:pPr>
      <w:r>
        <w:rPr>
          <w:highlight w:val="yellow"/>
          <w:lang w:val="en-US"/>
        </w:rPr>
        <w:t xml:space="preserve">The kinetic equation 2 is used to model solid phase reactions </w:t>
      </w:r>
      <w:r>
        <w:rPr>
          <w:color w:val="0000CC"/>
          <w:highlight w:val="yellow"/>
          <w:vertAlign w:val="superscript"/>
          <w:lang w:val="en-US"/>
        </w:rPr>
        <w:t>13</w:t>
      </w:r>
      <w:r>
        <w:rPr>
          <w:highlight w:val="yellow"/>
          <w:lang w:val="en-US"/>
        </w:rPr>
        <w:t xml:space="preserve">, and can be expressed in terms of the conversion degree </w:t>
      </w:r>
      <w:r>
        <w:rPr>
          <w:rFonts w:ascii="MathJax Math" w:hAnsi="MathJax Math"/>
          <w:highlight w:val="yellow"/>
        </w:rPr>
        <w:t>α</w:t>
      </w:r>
      <w:r>
        <w:rPr>
          <w:rFonts w:ascii="MathJax Math" w:hAnsi="MathJax Math"/>
          <w:highlight w:val="yellow"/>
          <w:lang w:val="en-US"/>
        </w:rPr>
        <w:t xml:space="preserve"> </w:t>
      </w:r>
      <w:r>
        <w:rPr>
          <w:highlight w:val="yellow"/>
          <w:lang w:val="en-US"/>
        </w:rPr>
        <w:t>(</w:t>
      </w:r>
      <w:r>
        <w:rPr>
          <w:rFonts w:cs="Times New Roman" w:ascii="Times New Roman" w:hAnsi="Times New Roman"/>
          <w:highlight w:val="yellow"/>
          <w:lang w:val="en-US"/>
        </w:rPr>
        <w:t>equation</w:t>
      </w:r>
      <w:r>
        <w:rPr>
          <w:highlight w:val="yellow"/>
          <w:lang w:val="en-US"/>
        </w:rPr>
        <w:t xml:space="preserve"> 3). The kinetic curves for the reactions studied are best described by equation 4 at </w:t>
      </w:r>
      <w:r>
        <w:rPr>
          <w:i/>
          <w:iCs/>
          <w:highlight w:val="yellow"/>
          <w:lang w:val="en-US"/>
        </w:rPr>
        <w:t>m</w:t>
      </w:r>
      <w:r>
        <w:rPr>
          <w:highlight w:val="yellow"/>
          <w:lang w:val="en-US"/>
        </w:rPr>
        <w:t xml:space="preserve">=1 and </w:t>
      </w:r>
      <w:r>
        <w:rPr>
          <w:i/>
          <w:iCs/>
          <w:highlight w:val="yellow"/>
          <w:lang w:val="en-US"/>
        </w:rPr>
        <w:t>n</w:t>
      </w:r>
      <w:r>
        <w:rPr>
          <w:highlight w:val="yellow"/>
          <w:lang w:val="en-US"/>
        </w:rPr>
        <w:t xml:space="preserve">=1. The temperature dependence of the reaction rate is expressed by the Arrhenius equation (5). </w:t>
      </w:r>
      <w:r>
        <w:rPr>
          <w:rFonts w:cs="Times New Roman" w:ascii="Times New Roman" w:hAnsi="Times New Roman"/>
          <w:highlight w:val="yellow"/>
          <w:lang w:val="en-US"/>
        </w:rPr>
        <w:t xml:space="preserve">The reaction enthalpy is calculated by integrating a curve approximating the experimental heat flux (equation 6), in the time interval (0, </w:t>
      </w:r>
      <w:r>
        <w:rPr>
          <w:rFonts w:eastAsia="Liberation Serif" w:cs="Liberation Serif"/>
          <w:highlight w:val="yellow"/>
          <w:lang w:val="en-US"/>
        </w:rPr>
        <w:t>∞</w:t>
      </w:r>
      <w:r>
        <w:rPr>
          <w:rFonts w:cs="Times New Roman" w:ascii="Times New Roman" w:hAnsi="Times New Roman"/>
          <w:highlight w:val="yellow"/>
          <w:lang w:val="en-US"/>
        </w:rPr>
        <w:t xml:space="preserve">). The half-life corresponds to the conversion degree </w:t>
      </w:r>
      <w:r>
        <w:rPr>
          <w:rFonts w:cs="Times New Roman" w:ascii="MathJax Math" w:hAnsi="MathJax Math"/>
          <w:iCs/>
          <w:highlight w:val="yellow"/>
          <w:lang w:val="en-US"/>
        </w:rPr>
        <w:t xml:space="preserve">of </w:t>
      </w:r>
      <w:r>
        <w:rPr>
          <w:rFonts w:cs="Times New Roman" w:ascii="Times New Roman" w:hAnsi="Times New Roman"/>
          <w:highlight w:val="yellow"/>
          <w:lang w:val="en-US"/>
        </w:rPr>
        <w:t>0.5. Due to the symmetry of the approximating kinetic curve 4, the half-life coincides with the maximum heat flux (in the case of more complex kinetics, this rule is not fulfilled).</w:t>
      </w:r>
    </w:p>
    <w:p>
      <w:pPr>
        <w:pStyle w:val="TAMainTex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Ксения Станкевич" w:date="2019-08-30T18:04:00Z" w:initials="КС">
    <w:p>
      <w:r>
        <w:rPr>
          <w:rFonts w:eastAsia="DejaVu Sans" w:cs="DejaVu Sans"/>
          <w:kern w:val="0"/>
          <w:lang w:val="en-US" w:eastAsia="en-US" w:bidi="en-US"/>
        </w:rPr>
        <w:t xml:space="preserve">Я сначала ввела все переменные, потом оставила описание. В описании переменных не хватает пояснения, что означают B, Ea, R,T в уравнении Аррениуса и откуда они берутся (что берется за энергию активации, как определили коэффициент B, какую температуру берете, и тд)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MathJax Math">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erif CJK SC" w:cs="FreeSans"/>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8"/>
    <w:uiPriority w:val="99"/>
    <w:semiHidden/>
    <w:qFormat/>
    <w:rsid w:val="00987640"/>
    <w:rPr>
      <w:rFonts w:ascii="Segoe UI" w:hAnsi="Segoe UI" w:cs="Mangal"/>
      <w:sz w:val="18"/>
      <w:szCs w:val="16"/>
    </w:rPr>
  </w:style>
  <w:style w:type="character" w:styleId="Annotationreference">
    <w:name w:val="annotation reference"/>
    <w:basedOn w:val="DefaultParagraphFont"/>
    <w:uiPriority w:val="99"/>
    <w:semiHidden/>
    <w:unhideWhenUsed/>
    <w:qFormat/>
    <w:rsid w:val="007d39c0"/>
    <w:rPr>
      <w:sz w:val="16"/>
      <w:szCs w:val="16"/>
    </w:rPr>
  </w:style>
  <w:style w:type="character" w:styleId="Style15" w:customStyle="1">
    <w:name w:val="Текст примечания Знак"/>
    <w:basedOn w:val="DefaultParagraphFont"/>
    <w:link w:val="ab"/>
    <w:uiPriority w:val="99"/>
    <w:semiHidden/>
    <w:qFormat/>
    <w:rsid w:val="007d39c0"/>
    <w:rPr>
      <w:rFonts w:cs="Mangal"/>
      <w:sz w:val="20"/>
      <w:szCs w:val="18"/>
    </w:rPr>
  </w:style>
  <w:style w:type="character" w:styleId="Style16" w:customStyle="1">
    <w:name w:val="Тема примечания Знак"/>
    <w:basedOn w:val="Style15"/>
    <w:link w:val="ad"/>
    <w:uiPriority w:val="99"/>
    <w:semiHidden/>
    <w:qFormat/>
    <w:rsid w:val="007d39c0"/>
    <w:rPr>
      <w:rFonts w:cs="Mangal"/>
      <w:b/>
      <w:bCs/>
      <w:sz w:val="20"/>
      <w:szCs w:val="18"/>
    </w:rPr>
  </w:style>
  <w:style w:type="paragraph" w:styleId="Style17">
    <w:name w:val="Заголовок"/>
    <w:basedOn w:val="Normal"/>
    <w:next w:val="Style18"/>
    <w:qFormat/>
    <w:pPr>
      <w:keepNext w:val="true"/>
      <w:spacing w:before="240" w:after="120"/>
    </w:pPr>
    <w:rPr>
      <w:rFonts w:ascii="Liberation Sans" w:hAnsi="Liberation Sans" w:eastAsia="Noto Sans CJK SC Regular" w:cs="FreeSans"/>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Title"/>
    <w:basedOn w:val="Normal"/>
    <w:next w:val="Style18"/>
    <w:uiPriority w:val="10"/>
    <w:qFormat/>
    <w:pPr>
      <w:keepNext w:val="true"/>
      <w:spacing w:before="240" w:after="120"/>
    </w:pPr>
    <w:rPr>
      <w:rFonts w:ascii="Liberation Sans" w:hAnsi="Liberation Sans" w:eastAsia="Noto Sans CJK SC Regular"/>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TAMainText" w:customStyle="1">
    <w:name w:val="TA_Main_Text"/>
    <w:basedOn w:val="Normal"/>
    <w:qFormat/>
    <w:pPr>
      <w:spacing w:lineRule="auto" w:line="480"/>
      <w:ind w:firstLine="202"/>
    </w:pPr>
    <w:rPr/>
  </w:style>
  <w:style w:type="paragraph" w:styleId="BalloonText">
    <w:name w:val="Balloon Text"/>
    <w:basedOn w:val="Normal"/>
    <w:link w:val="a9"/>
    <w:uiPriority w:val="99"/>
    <w:semiHidden/>
    <w:unhideWhenUsed/>
    <w:qFormat/>
    <w:rsid w:val="00987640"/>
    <w:pPr/>
    <w:rPr>
      <w:rFonts w:ascii="Segoe UI" w:hAnsi="Segoe UI" w:cs="Mangal"/>
      <w:sz w:val="18"/>
      <w:szCs w:val="16"/>
    </w:rPr>
  </w:style>
  <w:style w:type="paragraph" w:styleId="Annotationtext">
    <w:name w:val="annotation text"/>
    <w:basedOn w:val="Normal"/>
    <w:link w:val="ac"/>
    <w:uiPriority w:val="99"/>
    <w:semiHidden/>
    <w:unhideWhenUsed/>
    <w:qFormat/>
    <w:rsid w:val="007d39c0"/>
    <w:pPr/>
    <w:rPr>
      <w:rFonts w:cs="Mangal"/>
      <w:sz w:val="20"/>
      <w:szCs w:val="18"/>
    </w:rPr>
  </w:style>
  <w:style w:type="paragraph" w:styleId="Annotationsubject">
    <w:name w:val="annotation subject"/>
    <w:basedOn w:val="Annotationtext"/>
    <w:next w:val="Annotationtext"/>
    <w:link w:val="ae"/>
    <w:uiPriority w:val="99"/>
    <w:semiHidden/>
    <w:unhideWhenUsed/>
    <w:qFormat/>
    <w:rsid w:val="007d39c0"/>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LibreOffice/6.1.5.2$Linux_X86_64 LibreOffice_project/10$Build-2</Application>
  <Pages>2</Pages>
  <Words>446</Words>
  <Characters>2311</Characters>
  <CharactersWithSpaces>2760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2019-08-30T13:36:00Z</dcterms:created>
  <dc:creator/>
  <dc:description/>
  <dc:language>ru-RU</dc:language>
  <cp:lastModifiedBy/>
  <dcterms:modified xsi:type="dcterms:W3CDTF">2019-08-30T18:32:44Z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