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keepNext/>
        <w:widowControl w:val="false"/>
        <w:numPr>
          <w:ilvl w:val="1"/>
          <w:numId w:val="2"/>
        </w:numPr>
        <w:suppressAutoHyphens w:val="true"/>
        <w:bidi w:val="0"/>
        <w:spacing w:lineRule="auto" w:line="312" w:before="200" w:after="0"/>
        <w:ind w:left="0" w:right="0" w:hanging="0"/>
        <w:jc w:val="center"/>
        <w:rPr>
          <w:highlight w:val="yellow"/>
        </w:rPr>
      </w:pPr>
      <w:bookmarkStart w:id="0" w:name="__RefHeading___Toc11472_1966729274"/>
      <w:bookmarkEnd w:id="0"/>
      <w:r>
        <w:rPr>
          <w:highlight w:val="yellow"/>
        </w:rPr>
        <w:t xml:space="preserve">Экспериментальное ESI-MS и теоретическое DFT исследование  </w:t>
      </w:r>
      <w:r>
        <w:rPr>
          <w:highlight w:val="yellow"/>
        </w:rPr>
        <w:t xml:space="preserve">фрагментации </w:t>
      </w:r>
      <w:r>
        <w:rPr>
          <w:highlight w:val="yellow"/>
        </w:rPr>
        <w:t xml:space="preserve">арендиазоний тозилатов, трифлатов и тетрафторборатов </w:t>
      </w:r>
      <w:r>
        <w:rPr>
          <w:highlight w:val="yellow"/>
        </w:rPr>
        <w:t>и процессов в условиях электроспрея</w:t>
      </w:r>
    </w:p>
    <w:p>
      <w:pPr>
        <w:pStyle w:val="Normal"/>
        <w:widowControl/>
        <w:suppressAutoHyphens w:val="true"/>
        <w:bidi w:val="0"/>
        <w:spacing w:lineRule="auto" w:line="312"/>
        <w:ind w:left="0" w:right="0" w:hanging="0"/>
        <w:jc w:val="center"/>
        <w:rPr/>
      </w:pPr>
      <w:r>
        <w:rPr>
          <w:lang w:val="en-US"/>
        </w:rPr>
        <w:t>Alexander A. Bondarev,</w:t>
      </w:r>
      <w:r>
        <w:rPr>
          <w:vertAlign w:val="superscript"/>
          <w:lang w:val="en-US"/>
        </w:rPr>
        <w:t>1</w:t>
      </w:r>
      <w:r>
        <w:rPr>
          <w:lang w:val="en-US"/>
        </w:rPr>
        <w:t xml:space="preserve"> Evgeny V. Naumov,</w:t>
      </w:r>
      <w:r>
        <w:rPr>
          <w:vertAlign w:val="superscript"/>
          <w:lang w:val="en-US"/>
        </w:rPr>
        <w:t>1</w:t>
      </w:r>
      <w:r>
        <w:rPr>
          <w:lang w:val="en-US"/>
        </w:rPr>
        <w:t xml:space="preserve"> </w:t>
      </w:r>
      <w:r>
        <w:rPr>
          <w:lang w:val="en-US"/>
        </w:rPr>
        <w:t>Assiya Zh. Kassanova</w:t>
      </w:r>
      <w:r>
        <w:rPr>
          <w:vertAlign w:val="superscript"/>
          <w:lang w:val="en-US"/>
        </w:rPr>
        <w:t>2</w:t>
      </w:r>
      <w:r>
        <w:rPr>
          <w:lang w:val="en-US"/>
        </w:rPr>
        <w:t>,</w:t>
      </w:r>
      <w:r>
        <w:rPr>
          <w:lang w:val="en-US"/>
        </w:rPr>
        <w:t xml:space="preserve"> </w:t>
      </w:r>
    </w:p>
    <w:p>
      <w:pPr>
        <w:pStyle w:val="Normal"/>
        <w:widowControl/>
        <w:suppressAutoHyphens w:val="true"/>
        <w:bidi w:val="0"/>
        <w:spacing w:lineRule="auto" w:line="312"/>
        <w:ind w:left="0" w:right="0" w:hanging="0"/>
        <w:jc w:val="center"/>
        <w:rPr/>
      </w:pPr>
      <w:r>
        <w:rPr>
          <w:lang w:val="en-US"/>
        </w:rPr>
        <w:t>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Department of Biomedicine, Altai State University, Barnaul, Russia, alex_root@mail.ru</w:t>
      </w:r>
    </w:p>
    <w:p>
      <w:pPr>
        <w:pStyle w:val="Normal"/>
        <w:rPr/>
      </w:pPr>
      <w:r>
        <w:rPr>
          <w:vertAlign w:val="superscript"/>
          <w:lang w:val="en-US"/>
        </w:rPr>
        <w:t>2 </w:t>
      </w:r>
      <w:r>
        <w:rPr>
          <w:lang w:val="en-US"/>
        </w:rPr>
        <w:t>S. Toraighyrov Pavlodar State University, Pavlodar, Kazakhstan</w:t>
      </w:r>
    </w:p>
    <w:p>
      <w:pPr>
        <w:pStyle w:val="Normal"/>
        <w:widowControl/>
        <w:suppressAutoHyphens w:val="true"/>
        <w:bidi w:val="0"/>
        <w:spacing w:lineRule="auto" w:line="312"/>
        <w:ind w:left="850" w:right="0" w:hanging="283"/>
        <w:jc w:val="both"/>
        <w:rPr/>
      </w:pPr>
      <w:r>
        <w:rPr>
          <w:vertAlign w:val="superscript"/>
          <w:lang w:val="en-US"/>
        </w:rPr>
        <w:t>3 </w:t>
      </w:r>
      <w:r>
        <w:rPr>
          <w:lang w:val="en-US"/>
        </w:rPr>
        <w:t xml:space="preserve">The Kizhner Research Center, National Research Tomsk Polytechnic University, Tomsk, Russia, 634050 Tomsk, Russia  </w:t>
      </w:r>
    </w:p>
    <w:p>
      <w:pPr>
        <w:pStyle w:val="1"/>
        <w:keepNext/>
        <w:widowControl w:val="false"/>
        <w:numPr>
          <w:ilvl w:val="0"/>
          <w:numId w:val="1"/>
        </w:numPr>
        <w:suppressAutoHyphens w:val="true"/>
        <w:bidi w:val="0"/>
        <w:spacing w:lineRule="auto" w:line="312" w:before="240" w:after="120"/>
        <w:ind w:left="567" w:right="0" w:hanging="0"/>
        <w:jc w:val="left"/>
        <w:rPr/>
      </w:pPr>
      <w:bookmarkStart w:id="1" w:name="__RefHeading___Toc11474_1966729274"/>
      <w:bookmarkEnd w:id="1"/>
      <w:r>
        <w:rPr/>
        <w:t>Abstract</w:t>
      </w:r>
    </w:p>
    <w:p>
      <w:pPr>
        <w:pStyle w:val="Normal"/>
        <w:widowControl/>
        <w:suppressAutoHyphens w:val="true"/>
        <w:bidi w:val="0"/>
        <w:spacing w:lineRule="auto" w:line="312"/>
        <w:ind w:left="0" w:right="0" w:firstLine="567"/>
        <w:jc w:val="both"/>
        <w:rPr>
          <w:color w:val="000000"/>
        </w:rPr>
      </w:pPr>
      <w:r>
        <w:rPr>
          <w:color w:val="000000"/>
          <w:highlight w:val="yellow"/>
        </w:rPr>
        <w:t xml:space="preserve">Впервые для диазониевых солей методом </w:t>
      </w:r>
      <w:bookmarkStart w:id="2" w:name="_Hlk523253012"/>
      <w:r>
        <w:rPr>
          <w:color w:val="000000"/>
          <w:highlight w:val="yellow"/>
        </w:rPr>
        <w:t>ESI-MS</w:t>
      </w:r>
      <w:bookmarkEnd w:id="2"/>
      <w:r>
        <w:rPr>
          <w:color w:val="000000"/>
          <w:highlight w:val="yellow"/>
        </w:rPr>
        <w:t xml:space="preserve"> исследовано влияние природы противоионов на процессы фрагментации арендиазониевых солей ArN</w:t>
      </w:r>
      <w:r>
        <w:rPr>
          <w:color w:val="000000"/>
          <w:highlight w:val="yellow"/>
          <w:vertAlign w:val="subscript"/>
        </w:rPr>
        <w:t>2</w:t>
      </w:r>
      <w:r>
        <w:rPr>
          <w:color w:val="000000"/>
          <w:highlight w:val="yellow"/>
          <w:vertAlign w:val="superscript"/>
        </w:rPr>
        <w:t>+</w:t>
      </w:r>
      <w:r>
        <w:rPr>
          <w:color w:val="000000"/>
          <w:highlight w:val="yellow"/>
        </w:rPr>
        <w:t xml:space="preserve"> X</w:t>
      </w:r>
      <w:r>
        <w:rPr>
          <w:color w:val="000000"/>
          <w:highlight w:val="yellow"/>
          <w:vertAlign w:val="superscript"/>
        </w:rPr>
        <w:t>-</w:t>
      </w:r>
      <w:r>
        <w:rPr>
          <w:color w:val="000000"/>
          <w:highlight w:val="yellow"/>
        </w:rPr>
        <w:t xml:space="preserve"> с  X= BF</w:t>
      </w:r>
      <w:r>
        <w:rPr>
          <w:color w:val="000000"/>
          <w:highlight w:val="yellow"/>
          <w:vertAlign w:val="subscript"/>
        </w:rPr>
        <w:t>4</w:t>
      </w:r>
      <w:r>
        <w:rPr>
          <w:color w:val="000000"/>
          <w:highlight w:val="yellow"/>
          <w:vertAlign w:val="superscript"/>
        </w:rPr>
        <w:t>-</w:t>
      </w:r>
      <w:r>
        <w:rPr>
          <w:color w:val="000000"/>
          <w:highlight w:val="yellow"/>
        </w:rPr>
        <w:t xml:space="preserve">, </w:t>
      </w:r>
      <w:r>
        <w:rPr>
          <w:i/>
          <w:color w:val="000000"/>
          <w:highlight w:val="yellow"/>
        </w:rPr>
        <w:t>p</w:t>
      </w:r>
      <w:r>
        <w:rPr>
          <w:color w:val="000000"/>
          <w:highlight w:val="yellow"/>
        </w:rPr>
        <w:t>-TsO</w:t>
      </w:r>
      <w:r>
        <w:rPr>
          <w:color w:val="000000"/>
          <w:highlight w:val="yellow"/>
          <w:vertAlign w:val="superscript"/>
        </w:rPr>
        <w:t>-</w:t>
      </w:r>
      <w:r>
        <w:rPr>
          <w:color w:val="000000"/>
          <w:highlight w:val="yellow"/>
        </w:rPr>
        <w:t>, TfO</w:t>
      </w:r>
      <w:r>
        <w:rPr>
          <w:color w:val="000000"/>
          <w:highlight w:val="yellow"/>
          <w:vertAlign w:val="superscript"/>
        </w:rPr>
        <w:t>-</w:t>
      </w:r>
      <w:r>
        <w:rPr>
          <w:color w:val="000000"/>
          <w:highlight w:val="yellow"/>
        </w:rPr>
        <w:t>. Показано, что ESI-</w:t>
      </w:r>
      <w:bookmarkStart w:id="3" w:name="_Hlk523254489"/>
      <w:bookmarkEnd w:id="3"/>
      <w:r>
        <w:rPr>
          <w:color w:val="000000"/>
          <w:highlight w:val="yellow"/>
        </w:rPr>
        <w:t>MS эксперименты фиксируют не только диазониевые катионы ArN</w:t>
      </w:r>
      <w:r>
        <w:rPr>
          <w:color w:val="000000"/>
          <w:highlight w:val="yellow"/>
          <w:vertAlign w:val="subscript"/>
        </w:rPr>
        <w:t>2</w:t>
      </w:r>
      <w:r>
        <w:rPr>
          <w:color w:val="000000"/>
          <w:highlight w:val="yellow"/>
          <w:vertAlign w:val="superscript"/>
        </w:rPr>
        <w:t>+</w:t>
      </w:r>
      <w:r>
        <w:rPr>
          <w:color w:val="000000"/>
          <w:highlight w:val="yellow"/>
        </w:rPr>
        <w:t xml:space="preserve">, но и устойчивые кластерные ионы, состоящих из </w:t>
      </w:r>
      <w:r>
        <w:rPr>
          <w:color w:val="000000"/>
          <w:highlight w:val="yellow"/>
        </w:rPr>
        <w:t xml:space="preserve">n+1 </w:t>
      </w:r>
      <w:r>
        <w:rPr>
          <w:color w:val="000000"/>
          <w:highlight w:val="yellow"/>
        </w:rPr>
        <w:t xml:space="preserve">диазониевого катиона и </w:t>
      </w:r>
      <w:r>
        <w:rPr>
          <w:color w:val="000000"/>
          <w:highlight w:val="yellow"/>
        </w:rPr>
        <w:t>n (от 1 до 9) п</w:t>
      </w:r>
      <w:r>
        <w:rPr>
          <w:color w:val="000000"/>
          <w:highlight w:val="yellow"/>
        </w:rPr>
        <w:t xml:space="preserve">ротивоионов. Установлено, что в кластерах изученных диазониевых солей прочность связей </w:t>
      </w:r>
      <w:r>
        <w:rPr>
          <w:color w:val="000000"/>
          <w:highlight w:val="yellow"/>
          <w:lang w:val="en-US"/>
        </w:rPr>
        <w:t>Ar</w:t>
      </w:r>
      <w:r>
        <w:rPr>
          <w:color w:val="000000"/>
          <w:highlight w:val="yellow"/>
        </w:rPr>
        <w:t>-</w:t>
      </w:r>
      <w:r>
        <w:rPr>
          <w:color w:val="000000"/>
          <w:highlight w:val="yellow"/>
          <w:lang w:val="en-US"/>
        </w:rPr>
        <w:t>N</w:t>
      </w:r>
      <w:r>
        <w:rPr>
          <w:color w:val="000000"/>
          <w:highlight w:val="yellow"/>
          <w:vertAlign w:val="subscript"/>
        </w:rPr>
        <w:t>2</w:t>
      </w:r>
      <w:r>
        <w:rPr>
          <w:color w:val="000000"/>
          <w:highlight w:val="yellow"/>
          <w:vertAlign w:val="superscript"/>
        </w:rPr>
        <w:t>+</w:t>
      </w:r>
      <w:r>
        <w:rPr>
          <w:color w:val="000000"/>
          <w:highlight w:val="yellow"/>
        </w:rPr>
        <w:t xml:space="preserve"> оказывается выше, чем в изолированных диазоний-катионах. В спектрах ESI-MS </w:t>
      </w:r>
      <w:r>
        <w:rPr>
          <w:color w:val="000000"/>
          <w:highlight w:val="yellow"/>
        </w:rPr>
        <w:t>трифлатов</w:t>
      </w:r>
      <w:r>
        <w:rPr>
          <w:color w:val="000000"/>
          <w:highlight w:val="yellow"/>
        </w:rPr>
        <w:t xml:space="preserve"> присутствуют положительные ионы, соответствующие продуктам азо-сочетания и арилирования диазониевых солей </w:t>
      </w:r>
      <w:r>
        <w:rPr>
          <w:color w:val="000000"/>
          <w:highlight w:val="yellow"/>
        </w:rPr>
        <w:t>и полимеризации с участием соответствующих производных бензина</w:t>
      </w:r>
      <w:r>
        <w:rPr>
          <w:color w:val="000000"/>
          <w:highlight w:val="yellow"/>
        </w:rPr>
        <w:t>. Проведено моделирование зафиксированных превращений диазониевых солей методами DFT.</w:t>
      </w:r>
      <w:r>
        <w:rPr>
          <w:color w:val="000000"/>
        </w:rPr>
        <w:t xml:space="preserve">      </w:t>
      </w:r>
    </w:p>
    <w:p>
      <w:pPr>
        <w:pStyle w:val="1"/>
        <w:keepNext/>
        <w:widowControl w:val="false"/>
        <w:numPr>
          <w:ilvl w:val="0"/>
          <w:numId w:val="1"/>
        </w:numPr>
        <w:suppressAutoHyphens w:val="true"/>
        <w:bidi w:val="0"/>
        <w:spacing w:lineRule="auto" w:line="312" w:before="240" w:after="120"/>
        <w:ind w:left="567" w:right="0" w:hanging="0"/>
        <w:jc w:val="left"/>
        <w:rPr/>
      </w:pPr>
      <w:bookmarkStart w:id="4" w:name="__RefHeading___Toc11476_1966729274"/>
      <w:bookmarkEnd w:id="4"/>
      <w:r>
        <w:rPr/>
        <w:t>1. Introduction</w:t>
      </w:r>
    </w:p>
    <w:p>
      <w:pPr>
        <w:pStyle w:val="ListParagraph"/>
        <w:numPr>
          <w:ilvl w:val="3"/>
          <w:numId w:val="2"/>
        </w:numPr>
        <w:ind w:left="0" w:right="0" w:firstLine="567"/>
        <w:rPr>
          <w:rFonts w:ascii="Times New Roman" w:hAnsi="Times New Roman" w:cs="Times New Roman"/>
        </w:rPr>
      </w:pPr>
      <w:r>
        <w:rPr>
          <w:rFonts w:cs="Times New Roman" w:ascii="Times New Roman" w:hAnsi="Times New Roman"/>
        </w:rPr>
        <w:t>Ароматические диазониевые соли (DS) являются важнейшими и широко применяемыми реагентами в органическом синтезе и промышленности [1].  DS используются для получения сложных продуктов органического синтеза, инициации полимеризации, модификации поверхностей и наноматериалов [2]. Однако, многим DS присущи такие недостатки, как взрывоопасность и малая устойчивость при фото облучении, нагреве и механическом воздействии в сухом твердом состоянии [7,8]. Эти недостатки сдерживают масштабы и ограничивают сферы применения DS. Многие из этих веществ опасны при хранении и транспортировке. Стабильность DS связана с как электронным строением и свойствами самого диазониевого катиона, так и природой противо-иона и характером их взаимодействия. В настоящее время вопрос стабильности мало исследован и требует дальнейшего более глубокого изучения теоретическими и экспериментальными методами.</w:t>
      </w:r>
    </w:p>
    <w:p>
      <w:pPr>
        <w:pStyle w:val="Normal"/>
        <w:numPr>
          <w:ilvl w:val="3"/>
          <w:numId w:val="2"/>
        </w:numPr>
        <w:spacing w:before="0" w:after="0"/>
        <w:ind w:left="0" w:right="0" w:firstLine="624"/>
        <w:contextualSpacing/>
        <w:rPr/>
      </w:pPr>
      <w:r>
        <w:rPr>
          <w:rFonts w:eastAsia="Times New Roman" w:cs="Times New Roman" w:ascii="Times New Roman" w:hAnsi="Times New Roman"/>
          <w:highlight w:val="yellow"/>
        </w:rPr>
        <w:t>Ранее нами получены арендиазоний тозилаты и арендиазоний трифлаты [3, 1s] и показано, что они стабильны при хранении в сухом состоянии, обладают малой энергией термического разложения, хорошо растворимы, как в воде, так и органических растворителях  [3].</w:t>
      </w:r>
      <w:r>
        <w:rPr>
          <w:rFonts w:cs="Times New Roman" w:ascii="Times New Roman" w:hAnsi="Times New Roman"/>
          <w:highlight w:val="yellow"/>
        </w:rPr>
        <w:t xml:space="preserve"> </w:t>
      </w:r>
      <w:r>
        <w:rPr>
          <w:rFonts w:cs="Times New Roman" w:ascii="Times New Roman" w:hAnsi="Times New Roman"/>
        </w:rPr>
        <w:t>В то же время, они недороги, легко получаются из доступного сырья, обладают высокой «диазониевой» активностью и с успехом используются для галоид-дедиазонирования [3,4</w:t>
      </w:r>
      <w:r>
        <w:rPr>
          <w:rFonts w:cs="Times New Roman" w:ascii="Times New Roman" w:hAnsi="Times New Roman"/>
          <w:lang w:val="en-US"/>
        </w:rPr>
        <w:t>a</w:t>
      </w:r>
      <w:r>
        <w:rPr>
          <w:rFonts w:cs="Times New Roman" w:ascii="Times New Roman" w:hAnsi="Times New Roman"/>
        </w:rPr>
        <w:t>-</w:t>
      </w:r>
      <w:r>
        <w:rPr>
          <w:rFonts w:cs="Times New Roman" w:ascii="Times New Roman" w:hAnsi="Times New Roman"/>
          <w:lang w:val="en-US"/>
        </w:rPr>
        <w:t>e</w:t>
      </w:r>
      <w:r>
        <w:rPr>
          <w:rFonts w:cs="Times New Roman" w:ascii="Times New Roman" w:hAnsi="Times New Roman"/>
        </w:rPr>
        <w:t xml:space="preserve">] и введение в арены изотопа </w:t>
      </w:r>
      <w:r>
        <w:rPr>
          <w:rFonts w:cs="Times New Roman" w:ascii="Times New Roman" w:hAnsi="Times New Roman"/>
          <w:vertAlign w:val="superscript"/>
        </w:rPr>
        <w:t>18</w:t>
      </w:r>
      <w:r>
        <w:rPr>
          <w:rFonts w:cs="Times New Roman" w:ascii="Times New Roman" w:hAnsi="Times New Roman"/>
        </w:rPr>
        <w:t>F [4</w:t>
      </w:r>
      <w:r>
        <w:rPr>
          <w:rFonts w:cs="Times New Roman" w:ascii="Times New Roman" w:hAnsi="Times New Roman"/>
          <w:lang w:val="en-US"/>
        </w:rPr>
        <w:t>f</w:t>
      </w:r>
      <w:r>
        <w:rPr>
          <w:rFonts w:cs="Times New Roman" w:ascii="Times New Roman" w:hAnsi="Times New Roman"/>
        </w:rPr>
        <w:t>], для получения ароматических азидов [4</w:t>
      </w:r>
      <w:r>
        <w:rPr>
          <w:rFonts w:cs="Times New Roman" w:ascii="Times New Roman" w:hAnsi="Times New Roman"/>
          <w:lang w:val="en-US"/>
        </w:rPr>
        <w:t>g</w:t>
      </w:r>
      <w:r>
        <w:rPr>
          <w:rFonts w:cs="Times New Roman" w:ascii="Times New Roman" w:hAnsi="Times New Roman"/>
        </w:rPr>
        <w:t xml:space="preserve">], проведения azo-coupling с этил </w:t>
      </w:r>
      <w:r>
        <w:rPr>
          <w:rFonts w:cs="Times New Roman" w:ascii="Symbol" w:hAnsi="Symbol"/>
        </w:rPr>
        <w:t></w:t>
      </w:r>
      <w:r>
        <w:rPr>
          <w:rFonts w:cs="Times New Roman" w:ascii="Times New Roman" w:hAnsi="Times New Roman"/>
        </w:rPr>
        <w:t>-метилацетоацетатом [5</w:t>
      </w:r>
      <w:r>
        <w:rPr>
          <w:rFonts w:cs="Times New Roman" w:ascii="Times New Roman" w:hAnsi="Times New Roman"/>
          <w:lang w:val="en-US"/>
        </w:rPr>
        <w:t>a</w:t>
      </w:r>
      <w:r>
        <w:rPr>
          <w:rFonts w:cs="Times New Roman" w:ascii="Times New Roman" w:hAnsi="Times New Roman"/>
        </w:rPr>
        <w:t>], замещении диазониевой группы на триэтоксисилильную [5</w:t>
      </w:r>
      <w:r>
        <w:rPr>
          <w:rFonts w:cs="Times New Roman" w:ascii="Times New Roman" w:hAnsi="Times New Roman"/>
          <w:lang w:val="en-US"/>
        </w:rPr>
        <w:t>b</w:t>
      </w:r>
      <w:r>
        <w:rPr>
          <w:rFonts w:cs="Times New Roman" w:ascii="Times New Roman" w:hAnsi="Times New Roman"/>
        </w:rPr>
        <w:t>], Cu- и Pd-catalyzed арилирования 5</w:t>
      </w:r>
      <w:r>
        <w:rPr>
          <w:rFonts w:cs="Times New Roman" w:ascii="Times New Roman" w:hAnsi="Times New Roman"/>
          <w:lang w:val="en-US"/>
        </w:rPr>
        <w:t>c</w:t>
      </w:r>
      <w:r>
        <w:rPr>
          <w:rFonts w:cs="Times New Roman" w:ascii="Times New Roman" w:hAnsi="Times New Roman"/>
        </w:rPr>
        <w:t>,</w:t>
      </w:r>
      <w:r>
        <w:rPr>
          <w:rFonts w:cs="Times New Roman" w:ascii="Times New Roman" w:hAnsi="Times New Roman"/>
          <w:lang w:val="en-US"/>
        </w:rPr>
        <w:t>d</w:t>
      </w:r>
      <w:r>
        <w:rPr>
          <w:rFonts w:cs="Times New Roman" w:ascii="Times New Roman" w:hAnsi="Times New Roman"/>
        </w:rPr>
        <w:t>].</w:t>
      </w:r>
      <w:r>
        <w:rPr>
          <w:rFonts w:cs="Times New Roman" w:ascii="Times New Roman" w:hAnsi="Times New Roman"/>
          <w:vertAlign w:val="superscript"/>
        </w:rPr>
        <w:t xml:space="preserve"> </w:t>
      </w:r>
      <w:r>
        <w:rPr>
          <w:rFonts w:cs="Times New Roman" w:ascii="Times New Roman" w:hAnsi="Times New Roman"/>
        </w:rPr>
        <w:t>Кроме того, арендиазоний тозилаты оказались удобными агентами ковалентной прививки ароматических групп к поверхностям карбонизированных наночастиц металлов [5</w:t>
      </w:r>
      <w:r>
        <w:rPr>
          <w:rFonts w:cs="Times New Roman" w:ascii="Times New Roman" w:hAnsi="Times New Roman"/>
          <w:lang w:val="en-US"/>
        </w:rPr>
        <w:t>e</w:t>
      </w:r>
      <w:r>
        <w:rPr>
          <w:rFonts w:cs="Times New Roman" w:ascii="Times New Roman" w:hAnsi="Times New Roman"/>
        </w:rPr>
        <w:t>] и графену [5</w:t>
      </w:r>
      <w:r>
        <w:rPr>
          <w:rFonts w:cs="Times New Roman" w:ascii="Times New Roman" w:hAnsi="Times New Roman"/>
          <w:lang w:val="en-US"/>
        </w:rPr>
        <w:t>f</w:t>
      </w:r>
      <w:r>
        <w:rPr>
          <w:rFonts w:cs="Times New Roman" w:ascii="Times New Roman" w:hAnsi="Times New Roman"/>
        </w:rPr>
        <w:t>].</w:t>
      </w:r>
      <w:r>
        <w:rPr>
          <w:rFonts w:cs="Times New Roman" w:ascii="Times New Roman" w:hAnsi="Times New Roman"/>
          <w:highlight w:val="white"/>
        </w:rPr>
        <w:t xml:space="preserve"> </w:t>
      </w:r>
      <w:r>
        <w:rPr>
          <w:rFonts w:eastAsia="Times New Roman" w:cs="Times New Roman" w:ascii="Times New Roman" w:hAnsi="Times New Roman"/>
          <w:highlight w:val="yellow"/>
        </w:rPr>
        <w:t>Однако, причины повышения стабильности арендиазоний тозилатов и трифлатов в сравнении с традиционными арендиазоний тетрафторборатами остаются неясными.</w:t>
      </w:r>
    </w:p>
    <w:p>
      <w:pPr>
        <w:pStyle w:val="ListParagraph"/>
        <w:numPr>
          <w:ilvl w:val="3"/>
          <w:numId w:val="2"/>
        </w:numPr>
        <w:ind w:left="0" w:right="0" w:firstLine="567"/>
        <w:rPr/>
      </w:pPr>
      <w:r>
        <w:rPr>
          <w:rFonts w:cs="Times New Roman" w:ascii="Times New Roman" w:hAnsi="Times New Roman"/>
        </w:rPr>
        <w:t>Масс-спектрометрия - один из высокоточных</w:t>
      </w:r>
      <w:r>
        <w:rPr>
          <w:rFonts w:cs="Times New Roman" w:ascii="Times New Roman" w:hAnsi="Times New Roman"/>
          <w:highlight w:val="white"/>
        </w:rPr>
        <w:t xml:space="preserve"> экспериментальных </w:t>
      </w:r>
      <w:r>
        <w:rPr>
          <w:rFonts w:cs="Times New Roman" w:ascii="Times New Roman" w:hAnsi="Times New Roman"/>
        </w:rPr>
        <w:t>методов, позволяющих изучать ионы в газовой фазе или вакууме, оценить их стабильность, пути распада и взаимодействие с другими частицами. Классический метод ГХ-МС мало применим для диазониевых солей следствии ионного характера этих соединений и малой стабильности при ионизации электронным ударом.</w:t>
      </w:r>
      <w:r>
        <w:rPr>
          <w:rFonts w:cs="Times New Roman" w:ascii="Times New Roman" w:hAnsi="Times New Roman"/>
          <w:highlight w:val="white"/>
        </w:rPr>
        <w:t xml:space="preserve"> Наиболее подходящим методом для изучения этих объектов является метод ВЭЖХ-МС при ионизации электроспреем, который широко используется для изучения механизмов органических реакций в газовой фазе [2n, 3n, 5n, 9n], </w:t>
      </w:r>
      <w:r>
        <w:rPr>
          <w:rFonts w:cs="Times New Roman" w:ascii="Times New Roman" w:hAnsi="Times New Roman"/>
          <w:highlight w:val="yellow"/>
        </w:rPr>
        <w:t>в том числе и для мониторинга протекания реакций с участием DS [34n].</w:t>
      </w:r>
    </w:p>
    <w:p>
      <w:pPr>
        <w:pStyle w:val="ListParagraph"/>
        <w:numPr>
          <w:ilvl w:val="3"/>
          <w:numId w:val="2"/>
        </w:numPr>
        <w:ind w:left="0" w:right="0" w:firstLine="567"/>
        <w:rPr/>
      </w:pPr>
      <w:r>
        <w:rPr>
          <w:rFonts w:cs="Times New Roman" w:ascii="Times New Roman" w:hAnsi="Times New Roman"/>
        </w:rPr>
        <w:t xml:space="preserve">В настоящее время опубликованы лишь две работы по изучению </w:t>
      </w:r>
      <w:r>
        <w:rPr>
          <w:rFonts w:cs="Times New Roman" w:ascii="Times New Roman" w:hAnsi="Times New Roman"/>
          <w:highlight w:val="yellow"/>
        </w:rPr>
        <w:t>арендиазоний тетрафторборатов</w:t>
      </w:r>
      <w:r>
        <w:rPr>
          <w:rFonts w:cs="Times New Roman" w:ascii="Times New Roman" w:hAnsi="Times New Roman"/>
        </w:rPr>
        <w:t xml:space="preserve"> методом ESI/MS [22n, 15n]. В этих исследованиях авторы не ставили задачи описать влияние противо-иона. По данным авторов [22n] первой стадией и основным путем фрагментации диазониевых катионов и </w:t>
      </w:r>
      <w:r>
        <w:rPr>
          <w:rFonts w:cs="Times New Roman" w:ascii="Times New Roman" w:hAnsi="Times New Roman"/>
          <w:color w:val="auto"/>
          <w:highlight w:val="yellow"/>
        </w:rPr>
        <w:t>диазотатов</w:t>
      </w:r>
      <w:r>
        <w:rPr>
          <w:rFonts w:cs="Times New Roman" w:ascii="Times New Roman" w:hAnsi="Times New Roman"/>
        </w:rPr>
        <w:t xml:space="preserve"> является отщепление молекулярного азота. В работе  представлены спектры фрагментации при различных напряжениях на скиммере.</w:t>
      </w:r>
    </w:p>
    <w:p>
      <w:pPr>
        <w:pStyle w:val="ListParagraph"/>
        <w:numPr>
          <w:ilvl w:val="3"/>
          <w:numId w:val="2"/>
        </w:numPr>
        <w:ind w:left="0" w:right="0" w:firstLine="567"/>
        <w:rPr/>
      </w:pPr>
      <w:r>
        <w:rPr>
          <w:rFonts w:cs="Times New Roman" w:ascii="Times New Roman" w:hAnsi="Times New Roman"/>
        </w:rPr>
        <w:t xml:space="preserve">В работе [15n] изучено поведение тетрафторборатных пара замещенных производных фенилдиазония в экспериментах с использованием ионизации электроспреем. Авторами проведен анализ взаимодействий и превращений, происходящих между молекулами нуклеофилов и фенильными катионами в газовой фазе. В статье рассматривается явление образования кластерных частиц содержащих несколько катионов и тетрафторборат </w:t>
      </w:r>
      <w:r>
        <w:rPr>
          <w:rFonts w:cs="Times New Roman" w:ascii="Times New Roman" w:hAnsi="Times New Roman"/>
          <w:highlight w:val="yellow"/>
        </w:rPr>
        <w:t>анионов</w:t>
      </w:r>
      <w:r>
        <w:rPr>
          <w:rFonts w:cs="Times New Roman" w:ascii="Times New Roman" w:hAnsi="Times New Roman"/>
        </w:rPr>
        <w:t>. Показано также, что характеристики МС 2-нитробензолдиазоний тетрафторбората отличаются от других изученных ДС. Авторы предложили основные схемы 1-4 процессов происходящих с участием диазониевых катионов:</w:t>
      </w:r>
    </w:p>
    <w:p>
      <w:pPr>
        <w:pStyle w:val="ListParagraph"/>
        <w:numPr>
          <w:ilvl w:val="3"/>
          <w:numId w:val="2"/>
        </w:numPr>
        <w:jc w:val="center"/>
        <w:rPr>
          <w:rFonts w:ascii="Times New Roman" w:hAnsi="Times New Roman" w:cs="Times New Roman"/>
          <w:sz w:val="12"/>
          <w:szCs w:val="12"/>
          <w:highlight w:val="green"/>
        </w:rPr>
      </w:pPr>
      <w:r>
        <w:rPr>
          <w:rFonts w:cs="Times New Roman" w:ascii="Times New Roman" w:hAnsi="Times New Roman"/>
          <w:sz w:val="12"/>
          <w:szCs w:val="12"/>
          <w:highlight w:val="green"/>
        </w:rPr>
      </w:r>
    </w:p>
    <w:p>
      <w:pPr>
        <w:pStyle w:val="ListParagraph"/>
        <w:numPr>
          <w:ilvl w:val="3"/>
          <w:numId w:val="2"/>
        </w:numPr>
        <w:jc w:val="center"/>
        <w:rPr/>
      </w:pPr>
      <w:r>
        <w:rPr/>
        <w:drawing>
          <wp:inline distT="0" distB="0" distL="0" distR="0">
            <wp:extent cx="4216400" cy="2637155"/>
            <wp:effectExtent l="0" t="0" r="0" b="0"/>
            <wp:docPr id="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descr=""/>
                    <pic:cNvPicPr>
                      <a:picLocks noChangeAspect="1" noChangeArrowheads="1"/>
                    </pic:cNvPicPr>
                  </pic:nvPicPr>
                  <pic:blipFill>
                    <a:blip r:embed="rId2"/>
                    <a:stretch>
                      <a:fillRect/>
                    </a:stretch>
                  </pic:blipFill>
                  <pic:spPr bwMode="auto">
                    <a:xfrm>
                      <a:off x="0" y="0"/>
                      <a:ext cx="4216400" cy="2637155"/>
                    </a:xfrm>
                    <a:prstGeom prst="rect">
                      <a:avLst/>
                    </a:prstGeom>
                  </pic:spPr>
                </pic:pic>
              </a:graphicData>
            </a:graphic>
          </wp:inline>
        </w:drawing>
      </w:r>
    </w:p>
    <w:p>
      <w:pPr>
        <w:pStyle w:val="Normal"/>
        <w:numPr>
          <w:ilvl w:val="3"/>
          <w:numId w:val="2"/>
        </w:numPr>
        <w:spacing w:before="0" w:after="0"/>
        <w:contextualSpacing/>
        <w:jc w:val="center"/>
        <w:rPr>
          <w:sz w:val="12"/>
          <w:szCs w:val="12"/>
        </w:rPr>
      </w:pPr>
      <w:r>
        <w:rPr>
          <w:sz w:val="12"/>
          <w:szCs w:val="12"/>
        </w:rPr>
      </w:r>
    </w:p>
    <w:p>
      <w:pPr>
        <w:pStyle w:val="ListParagraph"/>
        <w:numPr>
          <w:ilvl w:val="3"/>
          <w:numId w:val="2"/>
        </w:numPr>
        <w:jc w:val="center"/>
        <w:rPr>
          <w:rFonts w:ascii="Times New Roman" w:hAnsi="Times New Roman" w:cs="Times New Roman"/>
          <w:highlight w:val="yellow"/>
        </w:rPr>
      </w:pPr>
      <w:r>
        <w:rPr>
          <w:rFonts w:cs="Times New Roman" w:ascii="Times New Roman" w:hAnsi="Times New Roman"/>
          <w:highlight w:val="yellow"/>
        </w:rPr>
        <w:t>Схемы 1-4. Основные процессы сопровождающие распад диазониевых катионов.</w:t>
      </w:r>
    </w:p>
    <w:p>
      <w:pPr>
        <w:pStyle w:val="ListParagraph"/>
        <w:numPr>
          <w:ilvl w:val="3"/>
          <w:numId w:val="2"/>
        </w:numPr>
        <w:ind w:left="0" w:right="0" w:firstLine="567"/>
        <w:rPr>
          <w:rFonts w:ascii="Times New Roman" w:hAnsi="Times New Roman" w:cs="Times New Roman"/>
          <w:highlight w:val="yellow"/>
        </w:rPr>
      </w:pPr>
      <w:r>
        <w:rPr>
          <w:rFonts w:cs="Times New Roman" w:ascii="Times New Roman" w:hAnsi="Times New Roman"/>
          <w:highlight w:val="yellow"/>
        </w:rPr>
      </w:r>
    </w:p>
    <w:p>
      <w:pPr>
        <w:pStyle w:val="ListParagraph"/>
        <w:numPr>
          <w:ilvl w:val="3"/>
          <w:numId w:val="2"/>
        </w:numPr>
        <w:ind w:left="0" w:right="0" w:firstLine="567"/>
        <w:rPr>
          <w:rFonts w:ascii="Times New Roman" w:hAnsi="Times New Roman" w:cs="Times New Roman"/>
          <w:highlight w:val="yellow"/>
        </w:rPr>
      </w:pPr>
      <w:r>
        <w:rPr>
          <w:rFonts w:cs="Times New Roman" w:ascii="Times New Roman" w:hAnsi="Times New Roman"/>
          <w:highlight w:val="yellow"/>
        </w:rPr>
        <w:t>Целью нашей работы было изучение свойств перспективных арендиазоний тозилатов и трифлатов в сравнении с тетрафторборатами в экспериментах на масс-спектрометре с ионизацией электроспреем. Изучение фрагментации диазониевых катионов при различных энергиях позволяет оценить и сравнить их прочность в эксперименте. Закономерности фрагментации кластерных частиц несут важную информацию о влиянии противоионов на прочность диазониевых частиц.</w:t>
      </w:r>
    </w:p>
    <w:p>
      <w:pPr>
        <w:pStyle w:val="ListParagraph"/>
        <w:numPr>
          <w:ilvl w:val="3"/>
          <w:numId w:val="2"/>
        </w:numPr>
        <w:ind w:left="0" w:right="0" w:firstLine="567"/>
        <w:rPr>
          <w:rFonts w:ascii="Times New Roman" w:hAnsi="Times New Roman" w:cs="Times New Roman"/>
          <w:highlight w:val="yellow"/>
        </w:rPr>
      </w:pPr>
      <w:r>
        <w:rPr>
          <w:rFonts w:cs="Times New Roman" w:ascii="Times New Roman" w:hAnsi="Times New Roman"/>
          <w:highlight w:val="yellow"/>
        </w:rPr>
        <w:t>Другой важной задачей было DFT моделирование процессов происходящих в условиях ионизации электроспреем и количественный расчет прочности диазониевых катионов. Отдельный интерес представляло квантово-химическое описание особенностей аномальной фрагментации 2-нитрофенилдиазония.</w:t>
      </w:r>
    </w:p>
    <w:p>
      <w:pPr>
        <w:pStyle w:val="ListParagraph"/>
        <w:numPr>
          <w:ilvl w:val="3"/>
          <w:numId w:val="2"/>
        </w:numPr>
        <w:ind w:left="0" w:right="0" w:firstLine="567"/>
        <w:rPr>
          <w:rFonts w:ascii="Times New Roman" w:hAnsi="Times New Roman" w:cs="Times New Roman"/>
          <w:highlight w:val="yellow"/>
        </w:rPr>
      </w:pPr>
      <w:r>
        <w:rPr>
          <w:rFonts w:cs="Times New Roman" w:ascii="Times New Roman" w:hAnsi="Times New Roman"/>
          <w:highlight w:val="yellow"/>
        </w:rPr>
        <w:t>DFT исследование кластерных частиц необходимо для объяснения особенностей их фрагментации, позволит описать строение, прочность кластеров и природу связи в кластерных ионах. Строение кластерных частиц является моделью состояния DS в конденсированной фазе.</w:t>
      </w:r>
    </w:p>
    <w:p>
      <w:pPr>
        <w:pStyle w:val="ListParagraph"/>
        <w:numPr>
          <w:ilvl w:val="3"/>
          <w:numId w:val="2"/>
        </w:numPr>
        <w:ind w:left="0" w:right="0" w:firstLine="567"/>
        <w:rPr/>
      </w:pPr>
      <w:r>
        <w:rPr>
          <w:rFonts w:cs="Times New Roman" w:ascii="Times New Roman" w:hAnsi="Times New Roman"/>
        </w:rPr>
        <w:t xml:space="preserve">Для исследований мы синтезировали ряд ДС </w:t>
      </w:r>
      <w:r>
        <w:rPr>
          <w:rFonts w:cs="Times New Roman" w:ascii="Times New Roman" w:hAnsi="Times New Roman"/>
          <w:b/>
        </w:rPr>
        <w:t>1a-i, 2, 3</w:t>
      </w:r>
      <w:r>
        <w:rPr>
          <w:rFonts w:cs="Times New Roman" w:ascii="Times New Roman" w:hAnsi="Times New Roman"/>
        </w:rPr>
        <w:t xml:space="preserve"> с вариацией заместителей различной природы (метокси, нитро, бром, карбокси) и их положения в кольце. Бром-производные ДС </w:t>
      </w:r>
      <w:r>
        <w:rPr>
          <w:rFonts w:cs="Times New Roman" w:ascii="Times New Roman" w:hAnsi="Times New Roman"/>
          <w:b/>
        </w:rPr>
        <w:t>1h</w:t>
      </w:r>
      <w:r>
        <w:rPr>
          <w:rFonts w:cs="Times New Roman" w:ascii="Times New Roman" w:hAnsi="Times New Roman"/>
        </w:rPr>
        <w:t xml:space="preserve"> и </w:t>
      </w:r>
      <w:r>
        <w:rPr>
          <w:rFonts w:cs="Times New Roman" w:ascii="Times New Roman" w:hAnsi="Times New Roman"/>
          <w:b/>
        </w:rPr>
        <w:t>1i</w:t>
      </w:r>
      <w:r>
        <w:rPr>
          <w:rFonts w:cs="Times New Roman" w:ascii="Times New Roman" w:hAnsi="Times New Roman"/>
        </w:rPr>
        <w:t xml:space="preserve"> удобны тем, что имеют специфический изотопный профиль, облегчающий идентификацию продуктов фрагментации.</w:t>
      </w:r>
      <w:r>
        <w:br w:type="page"/>
      </w:r>
    </w:p>
    <w:p>
      <w:pPr>
        <w:pStyle w:val="Normal"/>
        <w:jc w:val="right"/>
        <w:rPr/>
      </w:pPr>
      <w:r>
        <w:rPr/>
        <w:t xml:space="preserve">Таблица </w:t>
      </w:r>
      <w:r>
        <w:rPr/>
        <w:t>1</w:t>
      </w:r>
      <w:r>
        <w:rPr/>
        <w:t>.</w:t>
      </w:r>
    </w:p>
    <w:p>
      <w:pPr>
        <w:pStyle w:val="Normal"/>
        <w:ind w:left="0" w:right="0" w:hanging="0"/>
        <w:jc w:val="center"/>
        <w:rPr>
          <w:rFonts w:ascii="Times New Roman" w:hAnsi="Times New Roman" w:cs="Times New Roman"/>
          <w:sz w:val="24"/>
          <w:szCs w:val="24"/>
        </w:rPr>
      </w:pPr>
      <w:r>
        <w:rPr>
          <w:rFonts w:cs="Times New Roman" w:ascii="Times New Roman" w:hAnsi="Times New Roman"/>
          <w:sz w:val="24"/>
          <w:szCs w:val="24"/>
        </w:rPr>
        <w:t>Структурные формулы изучаемых диазониевых солей (DS)</w:t>
      </w:r>
    </w:p>
    <w:tbl>
      <w:tblPr>
        <w:tblW w:w="9128" w:type="dxa"/>
        <w:jc w:val="center"/>
        <w:tblInd w:w="0" w:type="dxa"/>
        <w:tblBorders/>
        <w:tblCellMar>
          <w:top w:w="55" w:type="dxa"/>
          <w:left w:w="55" w:type="dxa"/>
          <w:bottom w:w="55" w:type="dxa"/>
          <w:right w:w="55" w:type="dxa"/>
        </w:tblCellMar>
      </w:tblPr>
      <w:tblGrid>
        <w:gridCol w:w="3400"/>
        <w:gridCol w:w="739"/>
        <w:gridCol w:w="4203"/>
        <w:gridCol w:w="786"/>
      </w:tblGrid>
      <w:tr>
        <w:trPr/>
        <w:tc>
          <w:tcPr>
            <w:tcW w:w="3400" w:type="dxa"/>
            <w:tcBorders/>
            <w:shd w:fill="FFFFFF" w:val="clear"/>
          </w:tcPr>
          <w:p>
            <w:pPr>
              <w:pStyle w:val="Style28"/>
              <w:ind w:left="0" w:right="0" w:hanging="0"/>
              <w:jc w:val="right"/>
              <w:rPr/>
            </w:pPr>
            <w:r>
              <w:rPr/>
              <w:drawing>
                <wp:inline distT="0" distB="0" distL="0" distR="0">
                  <wp:extent cx="1134745" cy="573405"/>
                  <wp:effectExtent l="0" t="0" r="0" b="0"/>
                  <wp:docPr id="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8" descr=""/>
                          <pic:cNvPicPr>
                            <a:picLocks noChangeAspect="1" noChangeArrowheads="1"/>
                          </pic:cNvPicPr>
                        </pic:nvPicPr>
                        <pic:blipFill>
                          <a:blip r:embed="rId3"/>
                          <a:stretch>
                            <a:fillRect/>
                          </a:stretch>
                        </pic:blipFill>
                        <pic:spPr bwMode="auto">
                          <a:xfrm>
                            <a:off x="0" y="0"/>
                            <a:ext cx="1134745" cy="573405"/>
                          </a:xfrm>
                          <a:prstGeom prst="rect">
                            <a:avLst/>
                          </a:prstGeom>
                        </pic:spPr>
                      </pic:pic>
                    </a:graphicData>
                  </a:graphic>
                </wp:inline>
              </w:drawing>
            </w:r>
          </w:p>
        </w:tc>
        <w:tc>
          <w:tcPr>
            <w:tcW w:w="739" w:type="dxa"/>
            <w:tcBorders/>
            <w:shd w:fill="FFFFFF" w:val="clear"/>
          </w:tcPr>
          <w:p>
            <w:pPr>
              <w:pStyle w:val="Style28"/>
              <w:ind w:left="0" w:right="0" w:hanging="0"/>
              <w:jc w:val="center"/>
              <w:rPr/>
            </w:pPr>
            <w:r>
              <w:rPr/>
              <w:t>(1a)</w:t>
            </w:r>
          </w:p>
        </w:tc>
        <w:tc>
          <w:tcPr>
            <w:tcW w:w="4203" w:type="dxa"/>
            <w:tcBorders/>
            <w:shd w:fill="FFFFFF" w:val="clear"/>
          </w:tcPr>
          <w:p>
            <w:pPr>
              <w:pStyle w:val="Style28"/>
              <w:ind w:left="0" w:right="0" w:hanging="0"/>
              <w:jc w:val="right"/>
              <w:rPr/>
            </w:pPr>
            <w:r>
              <w:rPr/>
              <w:drawing>
                <wp:inline distT="0" distB="0" distL="0" distR="0">
                  <wp:extent cx="1645920" cy="592455"/>
                  <wp:effectExtent l="0" t="0" r="0" b="0"/>
                  <wp:docPr id="3"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2" descr=""/>
                          <pic:cNvPicPr>
                            <a:picLocks noChangeAspect="1" noChangeArrowheads="1"/>
                          </pic:cNvPicPr>
                        </pic:nvPicPr>
                        <pic:blipFill>
                          <a:blip r:embed="rId4"/>
                          <a:stretch>
                            <a:fillRect/>
                          </a:stretch>
                        </pic:blipFill>
                        <pic:spPr bwMode="auto">
                          <a:xfrm>
                            <a:off x="0" y="0"/>
                            <a:ext cx="1645920" cy="592455"/>
                          </a:xfrm>
                          <a:prstGeom prst="rect">
                            <a:avLst/>
                          </a:prstGeom>
                        </pic:spPr>
                      </pic:pic>
                    </a:graphicData>
                  </a:graphic>
                </wp:inline>
              </w:drawing>
            </w:r>
          </w:p>
        </w:tc>
        <w:tc>
          <w:tcPr>
            <w:tcW w:w="786" w:type="dxa"/>
            <w:tcBorders/>
            <w:shd w:fill="FFFFFF" w:val="clear"/>
          </w:tcPr>
          <w:p>
            <w:pPr>
              <w:pStyle w:val="Style28"/>
              <w:ind w:left="0" w:right="0" w:hanging="0"/>
              <w:jc w:val="center"/>
              <w:rPr/>
            </w:pPr>
            <w:r>
              <w:rPr/>
              <w:t>(1g)</w:t>
            </w:r>
          </w:p>
        </w:tc>
      </w:tr>
      <w:tr>
        <w:trPr/>
        <w:tc>
          <w:tcPr>
            <w:tcW w:w="3400" w:type="dxa"/>
            <w:tcBorders/>
            <w:shd w:fill="FFFFFF" w:val="clear"/>
          </w:tcPr>
          <w:p>
            <w:pPr>
              <w:pStyle w:val="Style28"/>
              <w:ind w:left="0" w:right="0" w:hanging="0"/>
              <w:jc w:val="right"/>
              <w:rPr/>
            </w:pPr>
            <w:r>
              <w:rPr/>
              <w:drawing>
                <wp:inline distT="0" distB="0" distL="0" distR="0">
                  <wp:extent cx="1122045" cy="669925"/>
                  <wp:effectExtent l="0" t="0" r="0" b="0"/>
                  <wp:docPr id="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0" descr=""/>
                          <pic:cNvPicPr>
                            <a:picLocks noChangeAspect="1" noChangeArrowheads="1"/>
                          </pic:cNvPicPr>
                        </pic:nvPicPr>
                        <pic:blipFill>
                          <a:blip r:embed="rId5"/>
                          <a:stretch>
                            <a:fillRect/>
                          </a:stretch>
                        </pic:blipFill>
                        <pic:spPr bwMode="auto">
                          <a:xfrm>
                            <a:off x="0" y="0"/>
                            <a:ext cx="1122045" cy="669925"/>
                          </a:xfrm>
                          <a:prstGeom prst="rect">
                            <a:avLst/>
                          </a:prstGeom>
                        </pic:spPr>
                      </pic:pic>
                    </a:graphicData>
                  </a:graphic>
                </wp:inline>
              </w:drawing>
            </w:r>
          </w:p>
        </w:tc>
        <w:tc>
          <w:tcPr>
            <w:tcW w:w="739" w:type="dxa"/>
            <w:tcBorders/>
            <w:shd w:fill="FFFFFF" w:val="clear"/>
          </w:tcPr>
          <w:p>
            <w:pPr>
              <w:pStyle w:val="Style28"/>
              <w:ind w:left="0" w:right="0" w:hanging="0"/>
              <w:jc w:val="center"/>
              <w:rPr/>
            </w:pPr>
            <w:r>
              <w:rPr/>
              <w:t>(1b)</w:t>
            </w:r>
          </w:p>
        </w:tc>
        <w:tc>
          <w:tcPr>
            <w:tcW w:w="4203" w:type="dxa"/>
            <w:tcBorders/>
            <w:shd w:fill="FFFFFF" w:val="clear"/>
          </w:tcPr>
          <w:p>
            <w:pPr>
              <w:pStyle w:val="Style28"/>
              <w:ind w:left="0" w:right="0" w:hanging="0"/>
              <w:jc w:val="right"/>
              <w:rPr/>
            </w:pPr>
            <w:r>
              <w:rPr/>
              <w:drawing>
                <wp:inline distT="0" distB="0" distL="0" distR="0">
                  <wp:extent cx="1375410" cy="664845"/>
                  <wp:effectExtent l="0" t="0" r="0" b="0"/>
                  <wp:docPr id="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3" descr=""/>
                          <pic:cNvPicPr>
                            <a:picLocks noChangeAspect="1" noChangeArrowheads="1"/>
                          </pic:cNvPicPr>
                        </pic:nvPicPr>
                        <pic:blipFill>
                          <a:blip r:embed="rId6"/>
                          <a:stretch>
                            <a:fillRect/>
                          </a:stretch>
                        </pic:blipFill>
                        <pic:spPr bwMode="auto">
                          <a:xfrm>
                            <a:off x="0" y="0"/>
                            <a:ext cx="1375410" cy="664845"/>
                          </a:xfrm>
                          <a:prstGeom prst="rect">
                            <a:avLst/>
                          </a:prstGeom>
                        </pic:spPr>
                      </pic:pic>
                    </a:graphicData>
                  </a:graphic>
                </wp:inline>
              </w:drawing>
            </w:r>
          </w:p>
        </w:tc>
        <w:tc>
          <w:tcPr>
            <w:tcW w:w="786" w:type="dxa"/>
            <w:tcBorders/>
            <w:shd w:fill="FFFFFF" w:val="clear"/>
          </w:tcPr>
          <w:p>
            <w:pPr>
              <w:pStyle w:val="Style28"/>
              <w:ind w:left="0" w:right="0" w:hanging="0"/>
              <w:jc w:val="center"/>
              <w:rPr/>
            </w:pPr>
            <w:r>
              <w:rPr/>
              <w:t>(1h)</w:t>
            </w:r>
          </w:p>
        </w:tc>
      </w:tr>
      <w:tr>
        <w:trPr/>
        <w:tc>
          <w:tcPr>
            <w:tcW w:w="3400" w:type="dxa"/>
            <w:tcBorders/>
            <w:shd w:fill="FFFFFF" w:val="clear"/>
          </w:tcPr>
          <w:p>
            <w:pPr>
              <w:pStyle w:val="Style28"/>
              <w:ind w:left="0" w:right="0" w:hanging="0"/>
              <w:jc w:val="right"/>
              <w:rPr/>
            </w:pPr>
            <w:r>
              <w:rPr/>
              <w:drawing>
                <wp:inline distT="0" distB="0" distL="0" distR="0">
                  <wp:extent cx="1654810" cy="577850"/>
                  <wp:effectExtent l="0" t="0" r="0" b="0"/>
                  <wp:docPr id="6"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9" descr=""/>
                          <pic:cNvPicPr>
                            <a:picLocks noChangeAspect="1" noChangeArrowheads="1"/>
                          </pic:cNvPicPr>
                        </pic:nvPicPr>
                        <pic:blipFill>
                          <a:blip r:embed="rId7"/>
                          <a:stretch>
                            <a:fillRect/>
                          </a:stretch>
                        </pic:blipFill>
                        <pic:spPr bwMode="auto">
                          <a:xfrm>
                            <a:off x="0" y="0"/>
                            <a:ext cx="1654810" cy="577850"/>
                          </a:xfrm>
                          <a:prstGeom prst="rect">
                            <a:avLst/>
                          </a:prstGeom>
                        </pic:spPr>
                      </pic:pic>
                    </a:graphicData>
                  </a:graphic>
                </wp:inline>
              </w:drawing>
            </w:r>
          </w:p>
        </w:tc>
        <w:tc>
          <w:tcPr>
            <w:tcW w:w="739" w:type="dxa"/>
            <w:tcBorders/>
            <w:shd w:fill="FFFFFF" w:val="clear"/>
          </w:tcPr>
          <w:p>
            <w:pPr>
              <w:pStyle w:val="Style28"/>
              <w:ind w:left="0" w:right="0" w:hanging="0"/>
              <w:jc w:val="center"/>
              <w:rPr/>
            </w:pPr>
            <w:r>
              <w:rPr/>
              <w:t>(1c)</w:t>
            </w:r>
          </w:p>
        </w:tc>
        <w:tc>
          <w:tcPr>
            <w:tcW w:w="4203" w:type="dxa"/>
            <w:tcBorders/>
            <w:shd w:fill="FFFFFF" w:val="clear"/>
          </w:tcPr>
          <w:p>
            <w:pPr>
              <w:pStyle w:val="Style28"/>
              <w:ind w:left="0" w:right="0" w:hanging="0"/>
              <w:jc w:val="right"/>
              <w:rPr/>
            </w:pPr>
            <w:r>
              <w:rPr/>
              <w:drawing>
                <wp:inline distT="0" distB="0" distL="0" distR="0">
                  <wp:extent cx="1417320" cy="670560"/>
                  <wp:effectExtent l="0" t="0" r="0" b="0"/>
                  <wp:docPr id="7"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4" descr=""/>
                          <pic:cNvPicPr>
                            <a:picLocks noChangeAspect="1" noChangeArrowheads="1"/>
                          </pic:cNvPicPr>
                        </pic:nvPicPr>
                        <pic:blipFill>
                          <a:blip r:embed="rId8"/>
                          <a:stretch>
                            <a:fillRect/>
                          </a:stretch>
                        </pic:blipFill>
                        <pic:spPr bwMode="auto">
                          <a:xfrm>
                            <a:off x="0" y="0"/>
                            <a:ext cx="1417320" cy="670560"/>
                          </a:xfrm>
                          <a:prstGeom prst="rect">
                            <a:avLst/>
                          </a:prstGeom>
                        </pic:spPr>
                      </pic:pic>
                    </a:graphicData>
                  </a:graphic>
                </wp:inline>
              </w:drawing>
            </w:r>
          </w:p>
        </w:tc>
        <w:tc>
          <w:tcPr>
            <w:tcW w:w="786" w:type="dxa"/>
            <w:tcBorders/>
            <w:shd w:fill="FFFFFF" w:val="clear"/>
          </w:tcPr>
          <w:p>
            <w:pPr>
              <w:pStyle w:val="Style28"/>
              <w:ind w:left="0" w:right="0" w:hanging="0"/>
              <w:jc w:val="center"/>
              <w:rPr/>
            </w:pPr>
            <w:r>
              <w:rPr/>
              <w:t>(1i)</w:t>
            </w:r>
          </w:p>
        </w:tc>
      </w:tr>
      <w:tr>
        <w:trPr/>
        <w:tc>
          <w:tcPr>
            <w:tcW w:w="3400" w:type="dxa"/>
            <w:tcBorders/>
            <w:shd w:fill="FFFFFF" w:val="clear"/>
          </w:tcPr>
          <w:p>
            <w:pPr>
              <w:pStyle w:val="Style28"/>
              <w:ind w:left="0" w:right="0" w:hanging="0"/>
              <w:jc w:val="right"/>
              <w:rPr/>
            </w:pPr>
            <w:r>
              <w:rPr/>
              <w:drawing>
                <wp:inline distT="0" distB="0" distL="0" distR="0">
                  <wp:extent cx="1629410" cy="657225"/>
                  <wp:effectExtent l="0" t="0" r="0" b="0"/>
                  <wp:docPr id="8"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1" descr=""/>
                          <pic:cNvPicPr>
                            <a:picLocks noChangeAspect="1" noChangeArrowheads="1"/>
                          </pic:cNvPicPr>
                        </pic:nvPicPr>
                        <pic:blipFill>
                          <a:blip r:embed="rId9"/>
                          <a:stretch>
                            <a:fillRect/>
                          </a:stretch>
                        </pic:blipFill>
                        <pic:spPr bwMode="auto">
                          <a:xfrm>
                            <a:off x="0" y="0"/>
                            <a:ext cx="1629410" cy="657225"/>
                          </a:xfrm>
                          <a:prstGeom prst="rect">
                            <a:avLst/>
                          </a:prstGeom>
                        </pic:spPr>
                      </pic:pic>
                    </a:graphicData>
                  </a:graphic>
                </wp:inline>
              </w:drawing>
            </w:r>
          </w:p>
        </w:tc>
        <w:tc>
          <w:tcPr>
            <w:tcW w:w="739" w:type="dxa"/>
            <w:tcBorders/>
            <w:shd w:fill="FFFFFF" w:val="clear"/>
          </w:tcPr>
          <w:p>
            <w:pPr>
              <w:pStyle w:val="Style28"/>
              <w:ind w:left="0" w:right="0" w:hanging="0"/>
              <w:jc w:val="center"/>
              <w:rPr/>
            </w:pPr>
            <w:r>
              <w:rPr/>
              <w:t>(1d)</w:t>
            </w:r>
          </w:p>
        </w:tc>
        <w:tc>
          <w:tcPr>
            <w:tcW w:w="4203" w:type="dxa"/>
            <w:tcBorders/>
            <w:shd w:fill="FFFFFF" w:val="clear"/>
          </w:tcPr>
          <w:p>
            <w:pPr>
              <w:pStyle w:val="Style28"/>
              <w:ind w:left="0" w:right="0" w:hanging="0"/>
              <w:jc w:val="right"/>
              <w:rPr/>
            </w:pPr>
            <w:r>
              <w:rPr/>
              <w:drawing>
                <wp:inline distT="0" distB="0" distL="0" distR="0">
                  <wp:extent cx="1725295" cy="696595"/>
                  <wp:effectExtent l="0" t="0" r="0" b="0"/>
                  <wp:docPr id="9"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5" descr=""/>
                          <pic:cNvPicPr>
                            <a:picLocks noChangeAspect="1" noChangeArrowheads="1"/>
                          </pic:cNvPicPr>
                        </pic:nvPicPr>
                        <pic:blipFill>
                          <a:blip r:embed="rId10"/>
                          <a:stretch>
                            <a:fillRect/>
                          </a:stretch>
                        </pic:blipFill>
                        <pic:spPr bwMode="auto">
                          <a:xfrm>
                            <a:off x="0" y="0"/>
                            <a:ext cx="1725295" cy="696595"/>
                          </a:xfrm>
                          <a:prstGeom prst="rect">
                            <a:avLst/>
                          </a:prstGeom>
                        </pic:spPr>
                      </pic:pic>
                    </a:graphicData>
                  </a:graphic>
                </wp:inline>
              </w:drawing>
            </w:r>
          </w:p>
        </w:tc>
        <w:tc>
          <w:tcPr>
            <w:tcW w:w="786" w:type="dxa"/>
            <w:tcBorders/>
            <w:shd w:fill="FFFFFF" w:val="clear"/>
          </w:tcPr>
          <w:p>
            <w:pPr>
              <w:pStyle w:val="Style28"/>
              <w:ind w:left="0" w:right="0" w:hanging="0"/>
              <w:jc w:val="center"/>
              <w:rPr/>
            </w:pPr>
            <w:r>
              <w:rPr/>
              <w:t>(2)</w:t>
            </w:r>
          </w:p>
        </w:tc>
      </w:tr>
      <w:tr>
        <w:trPr/>
        <w:tc>
          <w:tcPr>
            <w:tcW w:w="3400" w:type="dxa"/>
            <w:tcBorders/>
            <w:shd w:fill="FFFFFF" w:val="clear"/>
          </w:tcPr>
          <w:p>
            <w:pPr>
              <w:pStyle w:val="Style28"/>
              <w:ind w:left="0" w:right="0" w:hanging="0"/>
              <w:jc w:val="right"/>
              <w:rPr/>
            </w:pPr>
            <w:r>
              <w:rPr/>
              <w:drawing>
                <wp:inline distT="0" distB="0" distL="0" distR="0">
                  <wp:extent cx="1722755" cy="653415"/>
                  <wp:effectExtent l="0" t="0" r="0" b="0"/>
                  <wp:docPr id="10"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2" descr=""/>
                          <pic:cNvPicPr>
                            <a:picLocks noChangeAspect="1" noChangeArrowheads="1"/>
                          </pic:cNvPicPr>
                        </pic:nvPicPr>
                        <pic:blipFill>
                          <a:blip r:embed="rId11"/>
                          <a:stretch>
                            <a:fillRect/>
                          </a:stretch>
                        </pic:blipFill>
                        <pic:spPr bwMode="auto">
                          <a:xfrm>
                            <a:off x="0" y="0"/>
                            <a:ext cx="1722755" cy="653415"/>
                          </a:xfrm>
                          <a:prstGeom prst="rect">
                            <a:avLst/>
                          </a:prstGeom>
                        </pic:spPr>
                      </pic:pic>
                    </a:graphicData>
                  </a:graphic>
                </wp:inline>
              </w:drawing>
            </w:r>
          </w:p>
        </w:tc>
        <w:tc>
          <w:tcPr>
            <w:tcW w:w="739" w:type="dxa"/>
            <w:tcBorders/>
            <w:shd w:fill="FFFFFF" w:val="clear"/>
          </w:tcPr>
          <w:p>
            <w:pPr>
              <w:pStyle w:val="Style28"/>
              <w:ind w:left="0" w:right="0" w:hanging="0"/>
              <w:jc w:val="center"/>
              <w:rPr/>
            </w:pPr>
            <w:r>
              <w:rPr/>
              <w:t>(1e)</w:t>
            </w:r>
          </w:p>
        </w:tc>
        <w:tc>
          <w:tcPr>
            <w:tcW w:w="4203" w:type="dxa"/>
            <w:tcBorders/>
            <w:shd w:fill="FFFFFF" w:val="clear"/>
          </w:tcPr>
          <w:p>
            <w:pPr>
              <w:pStyle w:val="Style28"/>
              <w:ind w:left="0" w:right="0" w:hanging="0"/>
              <w:jc w:val="right"/>
              <w:rPr/>
            </w:pPr>
            <w:r>
              <w:rPr/>
              <w:drawing>
                <wp:inline distT="0" distB="0" distL="0" distR="0">
                  <wp:extent cx="1607185" cy="640080"/>
                  <wp:effectExtent l="0" t="0" r="0" b="0"/>
                  <wp:docPr id="11"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6" descr=""/>
                          <pic:cNvPicPr>
                            <a:picLocks noChangeAspect="1" noChangeArrowheads="1"/>
                          </pic:cNvPicPr>
                        </pic:nvPicPr>
                        <pic:blipFill>
                          <a:blip r:embed="rId12"/>
                          <a:stretch>
                            <a:fillRect/>
                          </a:stretch>
                        </pic:blipFill>
                        <pic:spPr bwMode="auto">
                          <a:xfrm>
                            <a:off x="0" y="0"/>
                            <a:ext cx="1607185" cy="640080"/>
                          </a:xfrm>
                          <a:prstGeom prst="rect">
                            <a:avLst/>
                          </a:prstGeom>
                        </pic:spPr>
                      </pic:pic>
                    </a:graphicData>
                  </a:graphic>
                </wp:inline>
              </w:drawing>
            </w:r>
          </w:p>
        </w:tc>
        <w:tc>
          <w:tcPr>
            <w:tcW w:w="786" w:type="dxa"/>
            <w:tcBorders/>
            <w:shd w:fill="FFFFFF" w:val="clear"/>
          </w:tcPr>
          <w:p>
            <w:pPr>
              <w:pStyle w:val="Style28"/>
              <w:ind w:left="0" w:right="0" w:hanging="0"/>
              <w:jc w:val="center"/>
              <w:rPr/>
            </w:pPr>
            <w:r>
              <w:rPr/>
              <w:t>(3)</w:t>
            </w:r>
          </w:p>
        </w:tc>
      </w:tr>
      <w:tr>
        <w:trPr/>
        <w:tc>
          <w:tcPr>
            <w:tcW w:w="3400" w:type="dxa"/>
            <w:tcBorders/>
            <w:shd w:fill="FFFFFF" w:val="clear"/>
          </w:tcPr>
          <w:p>
            <w:pPr>
              <w:pStyle w:val="Style28"/>
              <w:ind w:left="0" w:right="0" w:hanging="0"/>
              <w:jc w:val="right"/>
              <w:rPr/>
            </w:pPr>
            <w:r>
              <w:rPr/>
              <w:drawing>
                <wp:inline distT="0" distB="0" distL="0" distR="0">
                  <wp:extent cx="1121410" cy="635000"/>
                  <wp:effectExtent l="0" t="0" r="0" b="0"/>
                  <wp:docPr id="1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3" descr=""/>
                          <pic:cNvPicPr>
                            <a:picLocks noChangeAspect="1" noChangeArrowheads="1"/>
                          </pic:cNvPicPr>
                        </pic:nvPicPr>
                        <pic:blipFill>
                          <a:blip r:embed="rId13"/>
                          <a:stretch>
                            <a:fillRect/>
                          </a:stretch>
                        </pic:blipFill>
                        <pic:spPr bwMode="auto">
                          <a:xfrm>
                            <a:off x="0" y="0"/>
                            <a:ext cx="1121410" cy="635000"/>
                          </a:xfrm>
                          <a:prstGeom prst="rect">
                            <a:avLst/>
                          </a:prstGeom>
                        </pic:spPr>
                      </pic:pic>
                    </a:graphicData>
                  </a:graphic>
                </wp:inline>
              </w:drawing>
            </w:r>
          </w:p>
        </w:tc>
        <w:tc>
          <w:tcPr>
            <w:tcW w:w="739" w:type="dxa"/>
            <w:tcBorders/>
            <w:shd w:fill="FFFFFF" w:val="clear"/>
          </w:tcPr>
          <w:p>
            <w:pPr>
              <w:pStyle w:val="Style28"/>
              <w:ind w:left="0" w:right="0" w:hanging="0"/>
              <w:jc w:val="center"/>
              <w:rPr/>
            </w:pPr>
            <w:r>
              <w:rPr/>
              <w:t>(1f)</w:t>
            </w:r>
          </w:p>
        </w:tc>
        <w:tc>
          <w:tcPr>
            <w:tcW w:w="4203" w:type="dxa"/>
            <w:tcBorders/>
            <w:shd w:fill="FFFFFF" w:val="clear"/>
          </w:tcPr>
          <w:p>
            <w:pPr>
              <w:pStyle w:val="Normal"/>
              <w:suppressLineNumbers/>
              <w:ind w:left="0" w:right="0" w:hanging="0"/>
              <w:jc w:val="center"/>
              <w:rPr>
                <w:b/>
                <w:b/>
                <w:bCs/>
                <w:lang w:val="en-US"/>
              </w:rPr>
            </w:pPr>
            <w:r>
              <w:rPr>
                <w:b/>
                <w:bCs/>
                <w:lang w:val="en-US"/>
              </w:rPr>
            </w:r>
          </w:p>
        </w:tc>
        <w:tc>
          <w:tcPr>
            <w:tcW w:w="786" w:type="dxa"/>
            <w:tcBorders/>
            <w:shd w:fill="FFFFFF" w:val="clear"/>
          </w:tcPr>
          <w:p>
            <w:pPr>
              <w:pStyle w:val="Style28"/>
              <w:ind w:left="0" w:right="0" w:hanging="0"/>
              <w:jc w:val="center"/>
              <w:rPr>
                <w:color w:val="FF3333"/>
              </w:rPr>
            </w:pPr>
            <w:r>
              <w:rPr>
                <w:color w:val="FF3333"/>
              </w:rPr>
            </w:r>
          </w:p>
        </w:tc>
      </w:tr>
    </w:tbl>
    <w:p>
      <w:pPr>
        <w:pStyle w:val="Normal"/>
        <w:numPr>
          <w:ilvl w:val="2"/>
          <w:numId w:val="2"/>
        </w:numPr>
        <w:rPr>
          <w:sz w:val="12"/>
          <w:szCs w:val="12"/>
        </w:rPr>
      </w:pPr>
      <w:r>
        <w:rPr>
          <w:sz w:val="12"/>
          <w:szCs w:val="12"/>
        </w:rPr>
      </w:r>
    </w:p>
    <w:p>
      <w:pPr>
        <w:pStyle w:val="1"/>
        <w:numPr>
          <w:ilvl w:val="0"/>
          <w:numId w:val="1"/>
        </w:numPr>
        <w:ind w:left="567" w:right="0" w:hanging="0"/>
        <w:rPr/>
      </w:pPr>
      <w:bookmarkStart w:id="5" w:name="__RefHeading___Toc11478_1966729274"/>
      <w:bookmarkEnd w:id="5"/>
      <w:r>
        <w:rPr/>
        <w:t>2. Experimental section</w:t>
      </w:r>
    </w:p>
    <w:p>
      <w:pPr>
        <w:pStyle w:val="2"/>
        <w:numPr>
          <w:ilvl w:val="1"/>
          <w:numId w:val="1"/>
        </w:numPr>
        <w:ind w:left="567" w:right="0" w:hanging="0"/>
        <w:rPr/>
      </w:pPr>
      <w:bookmarkStart w:id="6" w:name="__RefHeading___Toc11480_1966729274"/>
      <w:bookmarkEnd w:id="6"/>
      <w:r>
        <w:rPr/>
        <w:t xml:space="preserve">2.1. Получение диазониевых солей </w:t>
      </w:r>
    </w:p>
    <w:p>
      <w:pPr>
        <w:pStyle w:val="Normal"/>
        <w:rPr>
          <w:rFonts w:eastAsia="Times New Roman" w:cs="Times New Roman"/>
          <w:color w:val="000000"/>
        </w:rPr>
      </w:pPr>
      <w:r>
        <w:rPr>
          <w:rFonts w:eastAsia="Times New Roman" w:cs="Times New Roman"/>
          <w:color w:val="000000"/>
        </w:rPr>
        <w:t>Арен диазоний трифлаты (1a-i) были синтезированы по методу описанному в работе [1s]. Характеристики полученных солей приведены в приложении 1.</w:t>
      </w:r>
    </w:p>
    <w:p>
      <w:pPr>
        <w:pStyle w:val="2"/>
        <w:numPr>
          <w:ilvl w:val="1"/>
          <w:numId w:val="1"/>
        </w:numPr>
        <w:ind w:left="567" w:right="0" w:hanging="0"/>
        <w:rPr/>
      </w:pPr>
      <w:bookmarkStart w:id="7" w:name="__RefHeading___Toc11482_1966729274"/>
      <w:bookmarkEnd w:id="7"/>
      <w:r>
        <w:rPr/>
        <w:t>2.2. Масс спектрометрия растворов солей</w:t>
      </w:r>
    </w:p>
    <w:p>
      <w:pPr>
        <w:pStyle w:val="Normal"/>
        <w:rPr>
          <w:highlight w:val="yellow"/>
        </w:rPr>
      </w:pPr>
      <w:r>
        <w:rPr>
          <w:highlight w:val="yellow"/>
        </w:rPr>
        <w:t>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Для элюирования использовали изократический режим ацетонитрил:вода 50:50. Колонка Zorbax Eclipse Plus C18 2.1x50mm 1.8 micron. Поток 0.25 мл/мин. Потенциал на фрагменторе 150 В. Напряжение на капилляре 3500 В. Энергия столкновений MSMS — 0, 0.01, 0.1, 1, 10, 20, 40 эВ. Для исследования готовили 1 мг/мл растворы диазониевых солей в смеси вода:ацетонитрил 50:50. Инжекция 5 мкл.</w:t>
      </w:r>
    </w:p>
    <w:p>
      <w:pPr>
        <w:pStyle w:val="Normal"/>
        <w:rPr>
          <w:highlight w:val="yellow"/>
        </w:rPr>
      </w:pPr>
      <w:r>
        <w:rPr>
          <w:highlight w:val="yellow"/>
        </w:rPr>
        <w:t>Для обработки и интегрирования масс-спектров использован программный комплекс OpenMS 2.0 [5f, 6f]. Отдельно производилось интегрирование спектров первого и второго уровня по каждому прекурсору. Для анализа спектров использовалась база данных фрагментов масс-спектров METLIN [2f, 3f].</w:t>
      </w:r>
    </w:p>
    <w:p>
      <w:pPr>
        <w:pStyle w:val="2"/>
        <w:numPr>
          <w:ilvl w:val="1"/>
          <w:numId w:val="1"/>
        </w:numPr>
        <w:ind w:left="567" w:right="0" w:hanging="0"/>
        <w:rPr/>
      </w:pPr>
      <w:bookmarkStart w:id="8" w:name="__RefHeading___Toc11484_1966729274"/>
      <w:bookmarkEnd w:id="8"/>
      <w:r>
        <w:rPr/>
        <w:t>2.3. Квантовохимические расчеты</w:t>
      </w:r>
    </w:p>
    <w:p>
      <w:pPr>
        <w:pStyle w:val="Style24"/>
        <w:numPr>
          <w:ilvl w:val="2"/>
          <w:numId w:val="2"/>
        </w:numPr>
        <w:spacing w:lineRule="auto" w:line="312" w:before="0" w:after="0"/>
        <w:ind w:left="0" w:right="0" w:firstLine="567"/>
        <w:rPr/>
      </w:pPr>
      <w:r>
        <w:rPr>
          <w:color w:val="000000"/>
        </w:rPr>
        <w:t>Расчеты термодинамики распада диазониевых катионов с отщеплением азота выполнялись методом DFT Unrestricted и Restricted B3LYP в базисе aug-cc-pVDZ с помощью программного комплекса Gaussian 09 [1f]. Для всех систем рассчитан теоретический ИК-спектр, отсутствие от</w:t>
      </w:r>
      <w:r>
        <w:rPr>
          <w:color w:val="000000"/>
          <w:highlight w:val="white"/>
        </w:rPr>
        <w:t>рицательных частот доказывает стационарный характер оптимизированных структур. Д</w:t>
      </w:r>
      <w:r>
        <w:rPr>
          <w:rFonts w:cs="Times New Roman" w:ascii="Times New Roman" w:hAnsi="Times New Roman"/>
          <w:highlight w:val="white"/>
        </w:rPr>
        <w:t>ля моделирования диазониевых катионов и химических реакций с их участием эффективно использование DFT методов [26n-29n, 33n]. Следуя рекомендациям авторов [29n], учитывалась возможность существования арильных катионов как в синглетном, так и в триплетном состоянии.</w:t>
      </w:r>
    </w:p>
    <w:p>
      <w:pPr>
        <w:pStyle w:val="Style24"/>
        <w:numPr>
          <w:ilvl w:val="2"/>
          <w:numId w:val="2"/>
        </w:numPr>
        <w:spacing w:lineRule="auto" w:line="312" w:before="0" w:after="0"/>
        <w:ind w:left="0" w:right="0" w:firstLine="567"/>
        <w:rPr/>
      </w:pPr>
      <w:r>
        <w:rPr>
          <w:color w:val="000000"/>
        </w:rPr>
        <w:t xml:space="preserve">Для 2-нитробензол диазоний катиона выполнено сканирование энергии в процессе возрастания </w:t>
      </w:r>
      <w:r>
        <w:rPr>
          <w:color w:val="000000"/>
          <w:highlight w:val="yellow"/>
        </w:rPr>
        <w:t xml:space="preserve">длины связи C-N между арильным кольцом и диазониевой группой в процессе отщепления молекулы азота. </w:t>
      </w:r>
      <w:r>
        <w:rPr>
          <w:color w:val="000000"/>
        </w:rPr>
        <w:t>Расчет произведен с использованием квантовохимического программного комплекса ORCA-3.0.2. [6f] методом R-B3LYP в базисе aug-cc-pVDZ.</w:t>
      </w:r>
    </w:p>
    <w:p>
      <w:pPr>
        <w:pStyle w:val="Style24"/>
        <w:numPr>
          <w:ilvl w:val="2"/>
          <w:numId w:val="2"/>
        </w:numPr>
        <w:spacing w:lineRule="auto" w:line="312" w:before="0" w:after="0"/>
        <w:ind w:left="0" w:right="0" w:firstLine="567"/>
        <w:rPr/>
      </w:pPr>
      <w:r>
        <w:rPr>
          <w:color w:val="000000"/>
        </w:rPr>
        <w:t xml:space="preserve">Оптимизация геометрии и расчет термодинамики структур кластерных катионов произведен методом R-B3LYP с использование базиса 6-31G(d,p). Определена термодинамика в газовой фазе для процессов взаимодействия катион - анион и для процессов присоединения катиона к </w:t>
      </w:r>
      <w:r>
        <w:rPr>
          <w:color w:val="000000"/>
        </w:rPr>
        <w:t xml:space="preserve">нейтральной </w:t>
      </w:r>
      <w:r>
        <w:rPr>
          <w:color w:val="000000"/>
          <w:highlight w:val="yellow"/>
        </w:rPr>
        <w:t>ионной паре DS</w:t>
      </w:r>
      <w:r>
        <w:rPr>
          <w:color w:val="000000"/>
          <w:highlight w:val="yellow"/>
        </w:rPr>
        <w:t>.</w:t>
      </w:r>
    </w:p>
    <w:p>
      <w:pPr>
        <w:pStyle w:val="Style24"/>
        <w:numPr>
          <w:ilvl w:val="2"/>
          <w:numId w:val="2"/>
        </w:numPr>
        <w:spacing w:lineRule="auto" w:line="312" w:before="0" w:after="0"/>
        <w:ind w:left="0" w:right="0" w:firstLine="567"/>
        <w:rPr/>
      </w:pPr>
      <w:r>
        <w:rPr>
          <w:color w:val="000000"/>
          <w:highlight w:val="white"/>
        </w:rPr>
        <w:t>Для обработки данных и построения графических зав</w:t>
      </w:r>
      <w:r>
        <w:rPr>
          <w:color w:val="000000"/>
        </w:rPr>
        <w:t>исимостей было использовано открытое программное обеспечение - gnuplot 5.0 [7f].</w:t>
      </w:r>
    </w:p>
    <w:p>
      <w:pPr>
        <w:pStyle w:val="1"/>
        <w:keepNext/>
        <w:widowControl w:val="false"/>
        <w:numPr>
          <w:ilvl w:val="0"/>
          <w:numId w:val="1"/>
        </w:numPr>
        <w:suppressAutoHyphens w:val="true"/>
        <w:bidi w:val="0"/>
        <w:spacing w:lineRule="auto" w:line="312" w:before="240" w:after="120"/>
        <w:ind w:left="0" w:right="0" w:firstLine="567"/>
        <w:jc w:val="left"/>
        <w:rPr>
          <w:sz w:val="28"/>
          <w:szCs w:val="28"/>
        </w:rPr>
      </w:pPr>
      <w:bookmarkStart w:id="9" w:name="__RefHeading___Toc11486_1966729274"/>
      <w:bookmarkEnd w:id="9"/>
      <w:r>
        <w:rPr>
          <w:sz w:val="28"/>
          <w:szCs w:val="28"/>
        </w:rPr>
        <w:t>3. Results and discussion</w:t>
      </w:r>
    </w:p>
    <w:p>
      <w:pPr>
        <w:pStyle w:val="2"/>
        <w:numPr>
          <w:ilvl w:val="1"/>
          <w:numId w:val="1"/>
        </w:numPr>
        <w:ind w:left="567" w:right="0" w:hanging="0"/>
        <w:rPr/>
      </w:pPr>
      <w:bookmarkStart w:id="10" w:name="__RefHeading___Toc11488_1966729274"/>
      <w:bookmarkEnd w:id="10"/>
      <w:r>
        <w:rPr/>
        <w:t>3.1. Масс спектры растворов солей диазония</w:t>
      </w:r>
    </w:p>
    <w:p>
      <w:pPr>
        <w:pStyle w:val="Normal"/>
        <w:rPr/>
      </w:pPr>
      <w:r>
        <w:rPr/>
        <w:t xml:space="preserve">Полученные масс-спектры растворов диазониевых солей (рисунок 1-11) показали, что для всех исследуемых соединений характерное наличие кластерных ионов содержащих </w:t>
      </w:r>
      <w:r>
        <w:rPr>
          <w:i/>
          <w:iCs/>
        </w:rPr>
        <w:t>n+1</w:t>
      </w:r>
      <w:r>
        <w:rPr/>
        <w:t xml:space="preserve"> диазониевый катион и </w:t>
      </w:r>
      <w:r>
        <w:rPr>
          <w:i/>
          <w:iCs/>
        </w:rPr>
        <w:t>n</w:t>
      </w:r>
      <w:r>
        <w:rPr/>
        <w:t xml:space="preserve"> - анионов. Во всех спектрах наблюдается набор линий с шагом, равным молекулярной массе соответствующей соли. </w:t>
      </w:r>
      <w:r>
        <w:rPr/>
        <w:t xml:space="preserve">Интенсивность каждой из линий от числа </w:t>
      </w:r>
      <w:r>
        <w:rPr>
          <w:i/>
        </w:rPr>
        <w:t>n</w:t>
      </w:r>
      <w:r>
        <w:rPr/>
        <w:t xml:space="preserve"> носит индивидуальный характер и зависит от природы катиона и аниона, что позволяет определить некие «магические числа» </w:t>
      </w:r>
      <w:r>
        <w:rPr>
          <w:lang w:val="en-US"/>
        </w:rPr>
        <w:t>n</w:t>
      </w:r>
      <w:r>
        <w:rPr/>
        <w:t xml:space="preserve"> соответствующие наиболее интенсивным линиям, приведенные в таблице 2.  Похожая, но не идентичная картина наблюдалась по данным [15f] в МС для тетрафторбората (3), определенные авторами магические числа для этой соли также n=1, 4. </w:t>
      </w:r>
    </w:p>
    <w:p>
      <w:pPr>
        <w:pStyle w:val="Normal"/>
        <w:jc w:val="right"/>
        <w:rPr/>
      </w:pPr>
      <w:r>
        <w:rPr/>
        <w:t>Таблица 2.</w:t>
      </w:r>
    </w:p>
    <w:p>
      <w:pPr>
        <w:pStyle w:val="Normal"/>
        <w:ind w:left="0" w:right="0" w:hanging="0"/>
        <w:jc w:val="center"/>
        <w:rPr/>
      </w:pPr>
      <w:r>
        <w:rPr/>
        <w:t>Наблюдаемые «магические числа» для изученных солей диазония.</w:t>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2409"/>
        <w:gridCol w:w="2410"/>
        <w:gridCol w:w="2411"/>
        <w:gridCol w:w="2408"/>
      </w:tblGrid>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Соединение</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Магические числа</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Соединение</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Магические числа</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PhN</w:t>
            </w:r>
            <w:r>
              <w:rPr>
                <w:vertAlign w:val="subscript"/>
                <w:lang w:val="en-US"/>
              </w:rPr>
              <w:t>2</w:t>
            </w:r>
            <w:r>
              <w:rPr>
                <w:vertAlign w:val="superscript"/>
                <w:lang w:val="en-US"/>
              </w:rPr>
              <w:t>+</w:t>
            </w:r>
            <w:r>
              <w:rPr>
                <w:lang w:val="en-US"/>
              </w:rPr>
              <w:t xml:space="preserve"> TfO</w:t>
            </w:r>
            <w:r>
              <w:rPr>
                <w:vertAlign w:val="superscript"/>
                <w:lang w:val="en-US"/>
              </w:rPr>
              <w:t>-</w:t>
            </w:r>
            <w:r>
              <w:rPr>
                <w:lang w:val="en-US"/>
              </w:rPr>
              <w:t xml:space="preserve"> </w:t>
            </w:r>
            <w:r>
              <w:rPr>
                <w:b/>
              </w:rPr>
              <w:t>1a</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1, 3, 5, 6</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-HCO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1g</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highlight w:val="yellow"/>
              </w:rPr>
            </w:pPr>
            <w:r>
              <w:rPr>
                <w:highlight w:val="yellow"/>
              </w:rPr>
              <w:t xml:space="preserve">1, </w:t>
            </w:r>
            <w:r>
              <w:rPr>
                <w:highlight w:val="yellow"/>
              </w:rPr>
              <w:t>(3-низкая инт.)</w:t>
            </w:r>
          </w:p>
          <w:p>
            <w:pPr>
              <w:pStyle w:val="Style28"/>
              <w:ind w:left="0" w:right="0" w:hanging="0"/>
              <w:jc w:val="center"/>
              <w:rPr>
                <w:highlight w:val="yellow"/>
              </w:rPr>
            </w:pPr>
            <w:r>
              <w:rPr>
                <w:highlight w:val="yellow"/>
              </w:rPr>
              <w:t>(полимеризация)</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rPr>
              <w:t>1b</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w:t>
            </w:r>
            <w:r>
              <w:rPr>
                <w:lang w:val="en-US"/>
              </w:rPr>
              <w:t>Br</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vertAlign w:val="superscript"/>
                <w:lang w:val="en-US"/>
              </w:rPr>
              <w:t xml:space="preserve"> </w:t>
            </w:r>
            <w:r>
              <w:rPr>
                <w:b/>
              </w:rPr>
              <w:t>1h</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highlight w:val="yellow"/>
              </w:rPr>
            </w:pPr>
            <w:r>
              <w:rPr>
                <w:highlight w:val="yellow"/>
              </w:rPr>
              <w:t xml:space="preserve">1, </w:t>
            </w:r>
            <w:r>
              <w:rPr>
                <w:highlight w:val="yellow"/>
              </w:rPr>
              <w:t>(2,3-низкая инт.)</w:t>
            </w:r>
          </w:p>
          <w:p>
            <w:pPr>
              <w:pStyle w:val="Style28"/>
              <w:ind w:left="0" w:right="0" w:hanging="0"/>
              <w:jc w:val="center"/>
              <w:rPr>
                <w:highlight w:val="yellow"/>
              </w:rPr>
            </w:pPr>
            <w:r>
              <w:rPr>
                <w:highlight w:val="yellow"/>
              </w:rPr>
              <w:t>отщепление HOTf</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rPr>
              <w:t>1c</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4-</w:t>
            </w:r>
            <w:r>
              <w:rPr>
                <w:lang w:val="en-US"/>
              </w:rPr>
              <w:t>Br-2-HCO</w:t>
            </w:r>
            <w:r>
              <w:rPr>
                <w:vertAlign w:val="subscript"/>
                <w:lang w:val="en-US"/>
              </w:rPr>
              <w:t>2</w:t>
            </w:r>
            <w:r>
              <w:rPr/>
              <w:t>C</w:t>
            </w:r>
            <w:r>
              <w:rPr>
                <w:vertAlign w:val="subscript"/>
              </w:rPr>
              <w:t>6</w:t>
            </w:r>
            <w:r>
              <w:rPr/>
              <w:t>H</w:t>
            </w:r>
            <w:r>
              <w:rPr>
                <w:vertAlign w:val="subscript"/>
                <w:lang w:val="en-US"/>
              </w:rPr>
              <w:t>3</w:t>
            </w:r>
            <w:r>
              <w:rPr/>
              <w:t>N</w:t>
            </w:r>
            <w:r>
              <w:rPr>
                <w:vertAlign w:val="subscript"/>
              </w:rPr>
              <w:t>2</w:t>
            </w:r>
            <w:r>
              <w:rPr>
                <w:vertAlign w:val="superscript"/>
              </w:rPr>
              <w:t>+</w:t>
            </w:r>
            <w:r>
              <w:rPr/>
              <w:t xml:space="preserve"> TfO</w:t>
            </w:r>
            <w:r>
              <w:rPr>
                <w:vertAlign w:val="superscript"/>
              </w:rPr>
              <w:t>-</w:t>
            </w:r>
            <w:r>
              <w:rPr>
                <w:vertAlign w:val="superscript"/>
                <w:lang w:val="en-US"/>
              </w:rPr>
              <w:t xml:space="preserve"> </w:t>
            </w:r>
            <w:r>
              <w:rPr>
                <w:b/>
              </w:rPr>
              <w:t>1i</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highlight w:val="yellow"/>
              </w:rPr>
            </w:pPr>
            <w:r>
              <w:rPr>
                <w:highlight w:val="yellow"/>
              </w:rPr>
              <w:t xml:space="preserve">1, </w:t>
            </w:r>
            <w:r>
              <w:rPr>
                <w:highlight w:val="yellow"/>
              </w:rPr>
              <w:t>(3-низкая инт.)</w:t>
            </w:r>
          </w:p>
          <w:p>
            <w:pPr>
              <w:pStyle w:val="Style28"/>
              <w:ind w:left="0" w:right="0" w:hanging="0"/>
              <w:jc w:val="center"/>
              <w:rPr>
                <w:highlight w:val="yellow"/>
              </w:rPr>
            </w:pPr>
            <w:r>
              <w:rPr>
                <w:highlight w:val="yellow"/>
              </w:rPr>
              <w:t>отщепление HOTf</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1d</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bookmarkStart w:id="11" w:name="_Hlk523252352"/>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w:t>
            </w:r>
            <w:r>
              <w:rPr>
                <w:lang w:val="en-US"/>
              </w:rPr>
              <w:t>s</w:t>
            </w:r>
            <w:r>
              <w:rPr/>
              <w:t>O</w:t>
            </w:r>
            <w:r>
              <w:rPr>
                <w:vertAlign w:val="superscript"/>
              </w:rPr>
              <w:t>-</w:t>
            </w:r>
            <w:r>
              <w:rPr>
                <w:vertAlign w:val="superscript"/>
                <w:lang w:val="en-US"/>
              </w:rPr>
              <w:t xml:space="preserve"> </w:t>
            </w:r>
            <w:bookmarkEnd w:id="11"/>
            <w:r>
              <w:rPr>
                <w:b/>
              </w:rPr>
              <w:t>2</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2, 3, 5</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w:t>
            </w:r>
            <w:r>
              <w:rPr>
                <w:lang w:val="en-US"/>
              </w:rPr>
              <w:t>MeO</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1e</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1, 3, 4, 5</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w:t>
            </w:r>
            <w:r>
              <w:rPr>
                <w:lang w:val="en-US"/>
              </w:rPr>
              <w:t>BF</w:t>
            </w:r>
            <w:r>
              <w:rPr>
                <w:vertAlign w:val="subscript"/>
                <w:lang w:val="en-US"/>
              </w:rPr>
              <w:t>4</w:t>
            </w:r>
            <w:r>
              <w:rPr>
                <w:vertAlign w:val="superscript"/>
              </w:rPr>
              <w:t>-</w:t>
            </w:r>
            <w:r>
              <w:rPr>
                <w:lang w:val="en-US"/>
              </w:rPr>
              <w:t xml:space="preserve"> </w:t>
            </w:r>
            <w:r>
              <w:rPr>
                <w:b/>
              </w:rPr>
              <w:t>3</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1, 4</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2-</w:t>
            </w:r>
            <w:r>
              <w:rPr>
                <w:lang w:val="en-US"/>
              </w:rPr>
              <w:t>HCO</w:t>
            </w:r>
            <w:r>
              <w:rPr>
                <w:vertAlign w:val="subscript"/>
                <w:lang w:val="en-US"/>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1f</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 xml:space="preserve">5, 6, </w:t>
            </w:r>
            <w:r>
              <w:rPr/>
              <w:t>8</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r>
          </w:p>
        </w:tc>
      </w:tr>
    </w:tbl>
    <w:p>
      <w:pPr>
        <w:pStyle w:val="Normal"/>
        <w:ind w:left="0" w:right="0" w:hanging="0"/>
        <w:jc w:val="center"/>
        <w:rPr/>
      </w:pPr>
      <w:r>
        <w:rPr/>
      </w:r>
    </w:p>
    <w:p>
      <w:pPr>
        <w:pStyle w:val="Normal"/>
        <w:rPr>
          <w:highlight w:val="yellow"/>
        </w:rPr>
      </w:pPr>
      <w:r>
        <w:rPr>
          <w:highlight w:val="yellow"/>
        </w:rPr>
        <w:t>На наш взгляд «магические числа» связаны с координационным числом аниона (количество атомов фтора) - для тетрафторбората BF</w:t>
      </w:r>
      <w:r>
        <w:rPr>
          <w:highlight w:val="yellow"/>
          <w:vertAlign w:val="subscript"/>
        </w:rPr>
        <w:t>4</w:t>
      </w:r>
      <w:r>
        <w:rPr>
          <w:highlight w:val="yellow"/>
          <w:vertAlign w:val="superscript"/>
        </w:rPr>
        <w:t>-</w:t>
      </w:r>
      <w:r>
        <w:rPr>
          <w:highlight w:val="yellow"/>
        </w:rPr>
        <w:t xml:space="preserve"> - наиболее устойчивы n=4. Для тозилатов и трифлатов наиболее часто встречаются 3,6 - что кратно числу атомов кислорода сульфогруппы. </w:t>
      </w:r>
      <w:r>
        <w:rPr>
          <w:highlight w:val="yellow"/>
        </w:rPr>
        <w:t>Малая интенсивность кластерных линий для соединений 1g, 1h, 1i связана с  протекающими процессами полимеризации и отщепления HOTf от кластерных ионов.</w:t>
      </w:r>
      <w:r>
        <w:rPr>
          <w:highlight w:val="yellow"/>
        </w:rPr>
        <w:t xml:space="preserve"> Прочность и пространственное строение кластеров более подробно обсуждается в разделе 3.6. На строение кластеров вероятно влияют стерические факторы, особенно для орто замещенных производных. Существенным является и образование водородных связей при взаимодействии диазониевых катионов с анионом.</w:t>
      </w:r>
    </w:p>
    <w:p>
      <w:pPr>
        <w:pStyle w:val="Normal"/>
        <w:rPr/>
      </w:pPr>
      <w:r>
        <w:rPr/>
        <w:t xml:space="preserve">Кроме масс диазониевого катиона и кластерных частиц на спектрах присутствуют линии арильных катионов (за исключением трифлата 2-нитрофенилдиазония), что доказывает ожидаемый разрыв C-N связей. В процессе ионизации электроспреем происходит частичный распад диазониевых катионов. </w:t>
      </w:r>
    </w:p>
    <w:p>
      <w:pPr>
        <w:pStyle w:val="Normal"/>
        <w:rPr/>
      </w:pPr>
      <w:r>
        <w:rPr/>
        <w:t>Интересным фактом является полное отсутствие масс соответствующих потере азота комплексными частицами. Таким образом, наличие аниона в кластере стабилизирует диазониевые катионы.</w:t>
      </w:r>
    </w:p>
    <w:p>
      <w:pPr>
        <w:pStyle w:val="Normal"/>
        <w:ind w:left="0" w:right="0" w:hanging="0"/>
        <w:jc w:val="center"/>
        <w:rPr/>
      </w:pPr>
      <w:r>
        <w:rPr/>
      </w:r>
    </w:p>
    <w:p>
      <w:pPr>
        <w:pStyle w:val="Normal"/>
        <w:ind w:left="0" w:right="0" w:hanging="0"/>
        <w:jc w:val="center"/>
        <w:rPr/>
      </w:pPr>
      <w:r>
        <w:rPr/>
        <w:drawing>
          <wp:inline distT="0" distB="0" distL="0" distR="0">
            <wp:extent cx="6120130" cy="2995295"/>
            <wp:effectExtent l="0" t="0" r="0" b="0"/>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tretch>
                      <a:fillRect/>
                    </a:stretch>
                  </pic:blipFill>
                  <pic:spPr bwMode="auto">
                    <a:xfrm>
                      <a:off x="0" y="0"/>
                      <a:ext cx="6120130" cy="2995295"/>
                    </a:xfrm>
                    <a:prstGeom prst="rect">
                      <a:avLst/>
                    </a:prstGeom>
                  </pic:spPr>
                </pic:pic>
              </a:graphicData>
            </a:graphic>
          </wp:inline>
        </w:drawing>
      </w:r>
    </w:p>
    <w:p>
      <w:pPr>
        <w:pStyle w:val="Normal"/>
        <w:ind w:left="0" w:right="0" w:hanging="0"/>
        <w:jc w:val="center"/>
        <w:rPr/>
      </w:pPr>
      <w:r>
        <w:rPr>
          <w:lang w:val="en-US"/>
        </w:rPr>
        <w:t xml:space="preserve">Fig. 1. </w:t>
      </w:r>
      <w:r>
        <w:rPr>
          <w:lang w:val="en-US"/>
        </w:rPr>
        <w:t>Integrate</w:t>
      </w:r>
      <w:r>
        <w:rPr>
          <w:lang w:val="en-US"/>
        </w:rPr>
        <w:t>d</w:t>
      </w:r>
      <w:r>
        <w:rPr>
          <w:lang w:val="en-US"/>
        </w:rPr>
        <w:t xml:space="preserve"> </w:t>
      </w:r>
      <w:r>
        <w:rPr>
          <w:lang w:val="en-US"/>
        </w:rPr>
        <w:t xml:space="preserve">ESI/MS </w:t>
      </w:r>
      <w:r>
        <w:rPr>
          <w:lang w:val="en-US"/>
        </w:rPr>
        <w:t>data</w:t>
      </w:r>
      <w:r>
        <w:rPr>
          <w:lang w:val="en-US"/>
        </w:rPr>
        <w:t xml:space="preserve"> of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w:t>
      </w:r>
      <w:r>
        <w:rPr>
          <w:lang w:val="en-US"/>
        </w:rPr>
        <w:t xml:space="preserve"> </w:t>
      </w:r>
      <w:r>
        <w:rPr>
          <w:b/>
          <w:lang w:val="en-US"/>
        </w:rPr>
        <w:t>1a</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5</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5</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[C</w:t>
      </w:r>
      <w:r>
        <w:rPr>
          <w:sz w:val="20"/>
          <w:szCs w:val="20"/>
          <w:vertAlign w:val="subscript"/>
          <w:lang w:val="en-US"/>
        </w:rPr>
        <w:t>6</w:t>
      </w:r>
      <w:r>
        <w:rPr>
          <w:sz w:val="20"/>
          <w:szCs w:val="20"/>
          <w:lang w:val="en-US"/>
        </w:rPr>
        <w:t>H</w:t>
      </w:r>
      <w:r>
        <w:rPr>
          <w:sz w:val="20"/>
          <w:szCs w:val="20"/>
          <w:vertAlign w:val="subscript"/>
          <w:lang w:val="en-US"/>
        </w:rPr>
        <w:t>5</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drawing>
          <wp:inline distT="0" distB="0" distL="0" distR="0">
            <wp:extent cx="6120130" cy="3004185"/>
            <wp:effectExtent l="0" t="0" r="0" b="0"/>
            <wp:docPr id="14"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7" descr=""/>
                    <pic:cNvPicPr>
                      <a:picLocks noChangeAspect="1" noChangeArrowheads="1"/>
                    </pic:cNvPicPr>
                  </pic:nvPicPr>
                  <pic:blipFill>
                    <a:blip r:embed="rId15"/>
                    <a:stretch>
                      <a:fillRect/>
                    </a:stretch>
                  </pic:blipFill>
                  <pic:spPr bwMode="auto">
                    <a:xfrm>
                      <a:off x="0" y="0"/>
                      <a:ext cx="6120130" cy="3004185"/>
                    </a:xfrm>
                    <a:prstGeom prst="rect">
                      <a:avLst/>
                    </a:prstGeom>
                  </pic:spPr>
                </pic:pic>
              </a:graphicData>
            </a:graphic>
          </wp:inline>
        </w:drawing>
      </w:r>
      <w:r>
        <w:rPr/>
        <w:t xml:space="preserve"> </w:t>
      </w:r>
    </w:p>
    <w:p>
      <w:pPr>
        <w:pStyle w:val="Normal"/>
        <w:ind w:left="0" w:right="0" w:hanging="0"/>
        <w:jc w:val="center"/>
        <w:rPr/>
      </w:pPr>
      <w:r>
        <w:rPr>
          <w:lang w:val="en-US"/>
        </w:rPr>
        <w:t xml:space="preserve">Fig. 2. </w:t>
      </w:r>
      <w:r>
        <w:rPr>
          <w:lang w:val="en-US"/>
        </w:rPr>
        <w:t>Integrate</w:t>
      </w:r>
      <w:r>
        <w:rPr>
          <w:lang w:val="en-US"/>
        </w:rPr>
        <w:t>d</w:t>
      </w:r>
      <w:r>
        <w:rPr>
          <w:lang w:val="en-US"/>
        </w:rPr>
        <w:t xml:space="preserve"> </w:t>
      </w:r>
      <w:r>
        <w:rPr>
          <w:lang w:val="en-US"/>
        </w:rPr>
        <w:t xml:space="preserve">ESI/MS </w:t>
      </w:r>
      <w:r>
        <w:rPr>
          <w:lang w:val="en-US"/>
        </w:rPr>
        <w:t>data</w:t>
      </w:r>
      <w:r>
        <w:rPr>
          <w:lang w:val="en-US"/>
        </w:rPr>
        <w:t xml:space="preserve"> of 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1b</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81960"/>
            <wp:effectExtent l="0" t="0" r="0" b="0"/>
            <wp:docPr id="1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descr=""/>
                    <pic:cNvPicPr>
                      <a:picLocks noChangeAspect="1" noChangeArrowheads="1"/>
                    </pic:cNvPicPr>
                  </pic:nvPicPr>
                  <pic:blipFill>
                    <a:blip r:embed="rId16"/>
                    <a:stretch>
                      <a:fillRect/>
                    </a:stretch>
                  </pic:blipFill>
                  <pic:spPr bwMode="auto">
                    <a:xfrm>
                      <a:off x="0" y="0"/>
                      <a:ext cx="6120130" cy="2981960"/>
                    </a:xfrm>
                    <a:prstGeom prst="rect">
                      <a:avLst/>
                    </a:prstGeom>
                  </pic:spPr>
                </pic:pic>
              </a:graphicData>
            </a:graphic>
          </wp:inline>
        </w:drawing>
      </w:r>
    </w:p>
    <w:p>
      <w:pPr>
        <w:pStyle w:val="Normal"/>
        <w:ind w:left="0" w:right="0" w:hanging="0"/>
        <w:jc w:val="center"/>
        <w:rPr/>
      </w:pPr>
      <w:r>
        <w:rPr>
          <w:lang w:val="en-US"/>
        </w:rPr>
        <w:t xml:space="preserve">Fig. 3. </w:t>
      </w:r>
      <w:r>
        <w:rPr>
          <w:lang w:val="en-US"/>
        </w:rPr>
        <w:t>Integrate</w:t>
      </w:r>
      <w:r>
        <w:rPr>
          <w:lang w:val="en-US"/>
        </w:rPr>
        <w:t>d</w:t>
      </w:r>
      <w:r>
        <w:rPr>
          <w:lang w:val="en-US"/>
        </w:rPr>
        <w:t xml:space="preserve"> </w:t>
      </w:r>
      <w:r>
        <w:rPr>
          <w:lang w:val="en-US"/>
        </w:rPr>
        <w:t xml:space="preserve">ESI/MS </w:t>
      </w:r>
      <w:r>
        <w:rPr>
          <w:lang w:val="en-US"/>
        </w:rPr>
        <w:t xml:space="preserve">data </w:t>
      </w:r>
      <w:r>
        <w:rPr>
          <w:lang w:val="en-US"/>
        </w:rPr>
        <w:t>of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1c</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w:t>
      </w:r>
      <w:r>
        <w:rPr>
          <w:sz w:val="20"/>
          <w:szCs w:val="20"/>
          <w:lang w:val="en-US"/>
        </w:rPr>
        <w:t xml:space="preserve">  Cluster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02280"/>
            <wp:effectExtent l="0" t="0" r="0" b="0"/>
            <wp:docPr id="1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pic:cNvPicPr>
                      <a:picLocks noChangeAspect="1" noChangeArrowheads="1"/>
                    </pic:cNvPicPr>
                  </pic:nvPicPr>
                  <pic:blipFill>
                    <a:blip r:embed="rId17"/>
                    <a:stretch>
                      <a:fillRect/>
                    </a:stretch>
                  </pic:blipFill>
                  <pic:spPr bwMode="auto">
                    <a:xfrm>
                      <a:off x="0" y="0"/>
                      <a:ext cx="6120130" cy="3002280"/>
                    </a:xfrm>
                    <a:prstGeom prst="rect">
                      <a:avLst/>
                    </a:prstGeom>
                  </pic:spPr>
                </pic:pic>
              </a:graphicData>
            </a:graphic>
          </wp:inline>
        </w:drawing>
      </w:r>
    </w:p>
    <w:p>
      <w:pPr>
        <w:pStyle w:val="Normal"/>
        <w:ind w:left="0" w:right="0" w:hanging="0"/>
        <w:jc w:val="center"/>
        <w:rPr/>
      </w:pPr>
      <w:r>
        <w:rPr>
          <w:lang w:val="en-US"/>
        </w:rPr>
        <w:t xml:space="preserve">Fig. 4.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1d</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16250"/>
            <wp:effectExtent l="0" t="0" r="0" b="0"/>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18"/>
                    <a:stretch>
                      <a:fillRect/>
                    </a:stretch>
                  </pic:blipFill>
                  <pic:spPr bwMode="auto">
                    <a:xfrm>
                      <a:off x="0" y="0"/>
                      <a:ext cx="6120130" cy="3016250"/>
                    </a:xfrm>
                    <a:prstGeom prst="rect">
                      <a:avLst/>
                    </a:prstGeom>
                  </pic:spPr>
                </pic:pic>
              </a:graphicData>
            </a:graphic>
          </wp:inline>
        </w:drawing>
      </w:r>
    </w:p>
    <w:p>
      <w:pPr>
        <w:pStyle w:val="Normal"/>
        <w:ind w:left="0" w:right="0" w:hanging="0"/>
        <w:jc w:val="center"/>
        <w:rPr/>
      </w:pPr>
      <w:r>
        <w:rPr>
          <w:lang w:val="en-US"/>
        </w:rPr>
        <w:t xml:space="preserve">Fig. 5. </w:t>
      </w:r>
      <w:r>
        <w:rPr>
          <w:lang w:val="en-US"/>
        </w:rPr>
        <w:t>Integrate</w:t>
      </w:r>
      <w:r>
        <w:rPr>
          <w:lang w:val="en-US"/>
        </w:rPr>
        <w:t>d</w:t>
      </w:r>
      <w:r>
        <w:rPr>
          <w:lang w:val="en-US"/>
        </w:rPr>
        <w:t xml:space="preserve"> </w:t>
      </w:r>
      <w:r>
        <w:rPr>
          <w:lang w:val="en-US"/>
        </w:rPr>
        <w:t>ESI/MS data of 4-MeOC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1e</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MeO</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position w:val="0"/>
          <w:sz w:val="20"/>
          <w:sz w:val="20"/>
          <w:szCs w:val="20"/>
          <w:vertAlign w:val="baseline"/>
          <w:lang w:val="en-US"/>
        </w:rPr>
        <w:t>MeO</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position w:val="0"/>
          <w:sz w:val="20"/>
          <w:sz w:val="20"/>
          <w:szCs w:val="20"/>
          <w:vertAlign w:val="baseline"/>
          <w:lang w:val="en-US"/>
        </w:rPr>
        <w:t>MeO</w:t>
      </w:r>
      <w:r>
        <w:rPr>
          <w:position w:val="0"/>
          <w:sz w:val="20"/>
          <w:sz w:val="20"/>
          <w:szCs w:val="20"/>
          <w:vertAlign w:val="baseline"/>
          <w:lang w:val="en-US"/>
        </w:rPr>
        <w:t>C</w:t>
      </w:r>
      <w:r>
        <w:rPr>
          <w:sz w:val="20"/>
          <w:szCs w:val="20"/>
          <w:vertAlign w:val="subscript"/>
          <w:lang w:val="en-US"/>
        </w:rPr>
        <w:t>6</w:t>
      </w:r>
      <w:r>
        <w:rPr>
          <w:position w:val="0"/>
          <w:sz w:val="20"/>
          <w:sz w:val="20"/>
          <w:szCs w:val="20"/>
          <w:vertAlign w:val="baseline"/>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pPr>
      <w:r>
        <w:rPr/>
      </w:r>
    </w:p>
    <w:p>
      <w:pPr>
        <w:pStyle w:val="Normal"/>
        <w:ind w:left="0" w:right="0" w:hanging="0"/>
        <w:jc w:val="center"/>
        <w:rPr>
          <w:lang w:val="en-US"/>
        </w:rPr>
      </w:pPr>
      <w:r>
        <w:rPr>
          <w:lang w:val="en-US"/>
        </w:rPr>
      </w:r>
    </w:p>
    <w:p>
      <w:pPr>
        <w:pStyle w:val="Normal"/>
        <w:ind w:left="0" w:right="0" w:hanging="0"/>
        <w:jc w:val="center"/>
        <w:rPr>
          <w:lang w:val="en-US"/>
        </w:rPr>
      </w:pPr>
      <w:r>
        <w:rPr>
          <w:lang w:val="en-US"/>
        </w:rPr>
        <w:drawing>
          <wp:inline distT="0" distB="0" distL="0" distR="0">
            <wp:extent cx="6120130" cy="3020060"/>
            <wp:effectExtent l="0" t="0" r="0" b="0"/>
            <wp:docPr id="1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descr=""/>
                    <pic:cNvPicPr>
                      <a:picLocks noChangeAspect="1" noChangeArrowheads="1"/>
                    </pic:cNvPicPr>
                  </pic:nvPicPr>
                  <pic:blipFill>
                    <a:blip r:embed="rId19"/>
                    <a:stretch>
                      <a:fillRect/>
                    </a:stretch>
                  </pic:blipFill>
                  <pic:spPr bwMode="auto">
                    <a:xfrm>
                      <a:off x="0" y="0"/>
                      <a:ext cx="6120130" cy="3020060"/>
                    </a:xfrm>
                    <a:prstGeom prst="rect">
                      <a:avLst/>
                    </a:prstGeom>
                  </pic:spPr>
                </pic:pic>
              </a:graphicData>
            </a:graphic>
          </wp:inline>
        </w:drawing>
      </w:r>
    </w:p>
    <w:p>
      <w:pPr>
        <w:pStyle w:val="Normal"/>
        <w:ind w:left="0" w:right="0" w:hanging="0"/>
        <w:jc w:val="center"/>
        <w:rPr/>
      </w:pPr>
      <w:r>
        <w:rPr>
          <w:lang w:val="en-US"/>
        </w:rPr>
        <w:t xml:space="preserve">Fig. 6. </w:t>
      </w:r>
      <w:r>
        <w:rPr>
          <w:lang w:val="en-US"/>
        </w:rPr>
        <w:t>Integrate</w:t>
      </w:r>
      <w:r>
        <w:rPr>
          <w:lang w:val="en-US"/>
        </w:rPr>
        <w:t>d</w:t>
      </w:r>
      <w:r>
        <w:rPr>
          <w:lang w:val="en-US"/>
        </w:rPr>
        <w:t xml:space="preserve"> </w:t>
      </w:r>
      <w:r>
        <w:rPr>
          <w:lang w:val="en-US"/>
        </w:rPr>
        <w:t>ESI/MS data of 2-HCO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 </w:t>
      </w:r>
      <w:r>
        <w:rPr>
          <w:lang w:val="en-US"/>
        </w:rPr>
        <w:t>TfO</w:t>
      </w:r>
      <w:r>
        <w:rPr>
          <w:vertAlign w:val="superscript"/>
          <w:lang w:val="en-US"/>
        </w:rPr>
        <w:t xml:space="preserve">- </w:t>
      </w:r>
      <w:r>
        <w:rPr>
          <w:b/>
          <w:lang w:val="en-US"/>
        </w:rPr>
        <w:t>1f</w:t>
      </w:r>
      <w:r>
        <w:rPr>
          <w:lang w:val="en-US"/>
        </w:rPr>
        <w:t xml:space="preserve"> in the positive mode. </w:t>
      </w:r>
    </w:p>
    <w:p>
      <w:pPr>
        <w:pStyle w:val="Normal"/>
        <w:ind w:left="0" w:right="0" w:hanging="0"/>
        <w:jc w:val="center"/>
        <w:rPr>
          <w:sz w:val="20"/>
          <w:szCs w:val="20"/>
        </w:rPr>
      </w:pPr>
      <w:r>
        <w:rPr>
          <w:sz w:val="20"/>
          <w:szCs w:val="20"/>
          <w:lang w:val="en-US"/>
        </w:rPr>
        <w:t>M = </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r>
        <w:rPr>
          <w:sz w:val="20"/>
          <w:szCs w:val="20"/>
          <w:lang w:val="en-US"/>
        </w:rPr>
        <w:t xml:space="preserve">],  </w:t>
      </w:r>
      <w:r>
        <w:rPr>
          <w:sz w:val="20"/>
          <w:szCs w:val="20"/>
          <w:lang w:val="en-US"/>
        </w:rPr>
        <w:t>A = </w:t>
      </w:r>
      <w:r>
        <w:rPr>
          <w:sz w:val="20"/>
          <w:szCs w:val="20"/>
          <w:lang w:val="en-US"/>
        </w:rPr>
        <w:t>[</w:t>
      </w:r>
      <w:r>
        <w:rPr>
          <w:position w:val="0"/>
          <w:sz w:val="20"/>
          <w:sz w:val="20"/>
          <w:szCs w:val="20"/>
          <w:vertAlign w:val="baseline"/>
          <w:lang w:val="en-US"/>
        </w:rPr>
        <w:t>2</w:t>
      </w:r>
      <w:r>
        <w:rPr>
          <w:position w:val="0"/>
          <w:sz w:val="20"/>
          <w:sz w:val="20"/>
          <w:szCs w:val="20"/>
          <w:vertAlign w:val="baseline"/>
          <w:lang w:val="en-US"/>
        </w:rPr>
        <w:t>-</w:t>
      </w:r>
      <w:r>
        <w:rPr>
          <w:position w:val="0"/>
          <w:sz w:val="20"/>
          <w:sz w:val="20"/>
          <w:szCs w:val="20"/>
          <w:vertAlign w:val="baseline"/>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2</w:t>
      </w:r>
      <w:r>
        <w:rPr>
          <w:sz w:val="20"/>
          <w:szCs w:val="20"/>
          <w:lang w:val="en-US"/>
        </w:rPr>
        <w:t>-</w:t>
      </w:r>
      <w:r>
        <w:rPr>
          <w:sz w:val="20"/>
          <w:szCs w:val="20"/>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p>
    <w:p>
      <w:pPr>
        <w:pStyle w:val="Normal"/>
        <w:ind w:left="0" w:right="0" w:hanging="0"/>
        <w:jc w:val="center"/>
        <w:rPr>
          <w:sz w:val="20"/>
          <w:szCs w:val="20"/>
        </w:rPr>
      </w:pP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lang w:val="en-US"/>
        </w:rPr>
      </w:pPr>
      <w:r>
        <w:rPr>
          <w:lang w:val="en-US"/>
        </w:rPr>
      </w:r>
    </w:p>
    <w:p>
      <w:pPr>
        <w:pStyle w:val="Normal"/>
        <w:ind w:left="0" w:right="0" w:hanging="0"/>
        <w:jc w:val="center"/>
        <w:rPr>
          <w:lang w:val="en-US"/>
        </w:rPr>
      </w:pPr>
      <w:r>
        <w:rPr>
          <w:lang w:val="en-US"/>
        </w:rPr>
      </w:r>
    </w:p>
    <w:p>
      <w:pPr>
        <w:pStyle w:val="Normal"/>
        <w:ind w:left="0" w:right="0" w:hanging="0"/>
        <w:jc w:val="center"/>
        <w:rPr>
          <w:lang w:val="en-US"/>
        </w:rPr>
      </w:pPr>
      <w:r>
        <w:rPr>
          <w:lang w:val="en-US"/>
        </w:rPr>
        <w:drawing>
          <wp:inline distT="0" distB="0" distL="0" distR="0">
            <wp:extent cx="6120130" cy="3054350"/>
            <wp:effectExtent l="0" t="0" r="0" b="0"/>
            <wp:docPr id="1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descr=""/>
                    <pic:cNvPicPr>
                      <a:picLocks noChangeAspect="1" noChangeArrowheads="1"/>
                    </pic:cNvPicPr>
                  </pic:nvPicPr>
                  <pic:blipFill>
                    <a:blip r:embed="rId20"/>
                    <a:stretch>
                      <a:fillRect/>
                    </a:stretch>
                  </pic:blipFill>
                  <pic:spPr bwMode="auto">
                    <a:xfrm>
                      <a:off x="0" y="0"/>
                      <a:ext cx="6120130" cy="3054350"/>
                    </a:xfrm>
                    <a:prstGeom prst="rect">
                      <a:avLst/>
                    </a:prstGeom>
                  </pic:spPr>
                </pic:pic>
              </a:graphicData>
            </a:graphic>
          </wp:inline>
        </w:drawing>
      </w:r>
    </w:p>
    <w:p>
      <w:pPr>
        <w:pStyle w:val="Normal"/>
        <w:ind w:left="0" w:right="0" w:hanging="0"/>
        <w:jc w:val="center"/>
        <w:rPr/>
      </w:pPr>
      <w:r>
        <w:rPr>
          <w:lang w:val="en-US"/>
        </w:rPr>
        <w:t xml:space="preserve">Fig. 7. </w:t>
      </w:r>
      <w:r>
        <w:rPr>
          <w:lang w:val="en-US"/>
        </w:rPr>
        <w:t>Integrate</w:t>
      </w:r>
      <w:r>
        <w:rPr>
          <w:lang w:val="en-US"/>
        </w:rPr>
        <w:t>d</w:t>
      </w:r>
      <w:r>
        <w:rPr>
          <w:lang w:val="en-US"/>
        </w:rPr>
        <w:t xml:space="preserve"> </w:t>
      </w:r>
      <w:r>
        <w:rPr>
          <w:lang w:val="en-US"/>
        </w:rPr>
        <w:t>ESI/MS data of 4-HCO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1g</w:t>
      </w:r>
      <w:r>
        <w:rPr>
          <w:lang w:val="en-US"/>
        </w:rPr>
        <w:t xml:space="preserve"> in the positive mode. </w:t>
      </w:r>
    </w:p>
    <w:p>
      <w:pPr>
        <w:pStyle w:val="Normal"/>
        <w:ind w:left="0" w:right="0" w:hanging="0"/>
        <w:jc w:val="center"/>
        <w:rPr>
          <w:sz w:val="20"/>
          <w:szCs w:val="20"/>
        </w:rPr>
      </w:pPr>
      <w:r>
        <w:rPr>
          <w:sz w:val="20"/>
          <w:szCs w:val="20"/>
          <w:lang w:val="en-US"/>
        </w:rPr>
        <w:t>E</w:t>
      </w:r>
      <w:r>
        <w:rPr>
          <w:sz w:val="20"/>
          <w:szCs w:val="20"/>
          <w:lang w:val="en-US"/>
        </w:rPr>
        <w:t> = </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 xml:space="preserve">],  </w:t>
      </w: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p>
    <w:p>
      <w:pPr>
        <w:pStyle w:val="Normal"/>
        <w:ind w:left="0" w:right="0" w:hanging="0"/>
        <w:jc w:val="center"/>
        <w:rPr>
          <w:sz w:val="20"/>
          <w:szCs w:val="20"/>
        </w:rPr>
      </w:pP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w:t>
      </w:r>
      <w:r>
        <w:rPr>
          <w:sz w:val="20"/>
          <w:szCs w:val="20"/>
          <w:vertAlign w:val="subscript"/>
          <w:lang w:val="en-US"/>
        </w:rPr>
        <w:t>n.</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47365"/>
            <wp:effectExtent l="0" t="0" r="0" b="0"/>
            <wp:docPr id="2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0" descr=""/>
                    <pic:cNvPicPr>
                      <a:picLocks noChangeAspect="1" noChangeArrowheads="1"/>
                    </pic:cNvPicPr>
                  </pic:nvPicPr>
                  <pic:blipFill>
                    <a:blip r:embed="rId21"/>
                    <a:stretch>
                      <a:fillRect/>
                    </a:stretch>
                  </pic:blipFill>
                  <pic:spPr bwMode="auto">
                    <a:xfrm>
                      <a:off x="0" y="0"/>
                      <a:ext cx="6120130" cy="3047365"/>
                    </a:xfrm>
                    <a:prstGeom prst="rect">
                      <a:avLst/>
                    </a:prstGeom>
                  </pic:spPr>
                </pic:pic>
              </a:graphicData>
            </a:graphic>
          </wp:inline>
        </w:drawing>
      </w:r>
    </w:p>
    <w:p>
      <w:pPr>
        <w:pStyle w:val="Normal"/>
        <w:ind w:left="0" w:right="0" w:hanging="0"/>
        <w:jc w:val="center"/>
        <w:rPr/>
      </w:pPr>
      <w:r>
        <w:rPr>
          <w:lang w:val="en-US"/>
        </w:rPr>
        <w:t xml:space="preserve">Fig. 8. </w:t>
      </w:r>
      <w:r>
        <w:rPr>
          <w:lang w:val="en-US"/>
        </w:rPr>
        <w:t>Integrate</w:t>
      </w:r>
      <w:r>
        <w:rPr>
          <w:lang w:val="en-US"/>
        </w:rPr>
        <w:t>d</w:t>
      </w:r>
      <w:r>
        <w:rPr>
          <w:lang w:val="en-US"/>
        </w:rPr>
        <w:t xml:space="preserve"> </w:t>
      </w:r>
      <w:r>
        <w:rPr>
          <w:lang w:val="en-US"/>
        </w:rPr>
        <w:t>ESI/MS data of 4-BrC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1h</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Br</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Br</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pPr>
        <w:pStyle w:val="Normal"/>
        <w:ind w:left="0" w:right="0" w:hanging="0"/>
        <w:jc w:val="center"/>
        <w:rPr>
          <w:sz w:val="20"/>
          <w:szCs w:val="20"/>
        </w:rPr>
      </w:pP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 xml:space="preserve">,  </w:t>
      </w:r>
      <w:r>
        <w:rPr>
          <w:sz w:val="20"/>
          <w:szCs w:val="20"/>
          <w:lang w:val="en-US"/>
        </w:rPr>
        <w:t>E</w:t>
      </w:r>
      <w:r>
        <w:rPr>
          <w:sz w:val="20"/>
          <w:szCs w:val="20"/>
          <w:vertAlign w:val="subscript"/>
          <w:lang w:val="en-US"/>
        </w:rPr>
        <w:t>2</w:t>
      </w:r>
      <w:r>
        <w:rPr>
          <w:sz w:val="20"/>
          <w:szCs w:val="20"/>
          <w:lang w:val="en-US"/>
        </w:rPr>
        <w:t> = </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94025"/>
            <wp:effectExtent l="0" t="0" r="0" b="0"/>
            <wp:docPr id="2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descr=""/>
                    <pic:cNvPicPr>
                      <a:picLocks noChangeAspect="1" noChangeArrowheads="1"/>
                    </pic:cNvPicPr>
                  </pic:nvPicPr>
                  <pic:blipFill>
                    <a:blip r:embed="rId22"/>
                    <a:stretch>
                      <a:fillRect/>
                    </a:stretch>
                  </pic:blipFill>
                  <pic:spPr bwMode="auto">
                    <a:xfrm>
                      <a:off x="0" y="0"/>
                      <a:ext cx="6120130" cy="2994025"/>
                    </a:xfrm>
                    <a:prstGeom prst="rect">
                      <a:avLst/>
                    </a:prstGeom>
                  </pic:spPr>
                </pic:pic>
              </a:graphicData>
            </a:graphic>
          </wp:inline>
        </w:drawing>
      </w:r>
    </w:p>
    <w:p>
      <w:pPr>
        <w:pStyle w:val="Normal"/>
        <w:ind w:left="0" w:right="0" w:hanging="0"/>
        <w:jc w:val="center"/>
        <w:rPr/>
      </w:pPr>
      <w:r>
        <w:rPr>
          <w:lang w:val="en-US"/>
        </w:rPr>
        <w:t xml:space="preserve">Fig. 9. </w:t>
      </w:r>
      <w:r>
        <w:rPr>
          <w:lang w:val="en-US"/>
        </w:rPr>
        <w:t>Integrate</w:t>
      </w:r>
      <w:r>
        <w:rPr>
          <w:lang w:val="en-US"/>
        </w:rPr>
        <w:t>d</w:t>
      </w:r>
      <w:r>
        <w:rPr>
          <w:lang w:val="en-US"/>
        </w:rPr>
        <w:t xml:space="preserve"> </w:t>
      </w:r>
      <w:r>
        <w:rPr>
          <w:lang w:val="en-US"/>
        </w:rPr>
        <w:t>ESI/MS data of 4-Br-2-HCO</w:t>
      </w:r>
      <w:r>
        <w:rPr>
          <w:vertAlign w:val="subscript"/>
          <w:lang w:val="en-US"/>
        </w:rPr>
        <w:t>2</w:t>
      </w:r>
      <w:r>
        <w:rPr>
          <w:lang w:val="en-US"/>
        </w:rPr>
        <w:t>C</w:t>
      </w:r>
      <w:r>
        <w:rPr>
          <w:vertAlign w:val="subscript"/>
          <w:lang w:val="en-US"/>
        </w:rPr>
        <w:t>6</w:t>
      </w:r>
      <w:r>
        <w:rPr>
          <w:lang w:val="en-US"/>
        </w:rPr>
        <w:t>H</w:t>
      </w:r>
      <w:r>
        <w:rPr>
          <w:vertAlign w:val="subscript"/>
          <w:lang w:val="en-US"/>
        </w:rPr>
        <w:t>3</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1i</w:t>
      </w:r>
      <w:r>
        <w:rPr>
          <w:lang w:val="en-US"/>
        </w:rPr>
        <w:t xml:space="preserve"> in the positive mode.</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Br</w:t>
      </w:r>
      <w:r>
        <w:rPr>
          <w:position w:val="0"/>
          <w:sz w:val="20"/>
          <w:sz w:val="20"/>
          <w:szCs w:val="20"/>
          <w:vertAlign w:val="baseline"/>
          <w:lang w:val="en-US"/>
        </w:rPr>
        <w:t>-2-HCO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Br</w:t>
      </w:r>
      <w:r>
        <w:rPr>
          <w:position w:val="0"/>
          <w:sz w:val="20"/>
          <w:sz w:val="20"/>
          <w:szCs w:val="20"/>
          <w:vertAlign w:val="baseline"/>
          <w:lang w:val="en-US"/>
        </w:rPr>
        <w:t>-2-HCO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C</w:t>
      </w:r>
      <w:r>
        <w:rPr>
          <w:sz w:val="20"/>
          <w:szCs w:val="20"/>
          <w:lang w:val="en-US"/>
        </w:rPr>
        <w:t>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pPr>
        <w:pStyle w:val="Normal"/>
        <w:ind w:left="0" w:right="0" w:hanging="0"/>
        <w:jc w:val="center"/>
        <w:rPr>
          <w:sz w:val="20"/>
          <w:szCs w:val="20"/>
        </w:rPr>
      </w:pP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 xml:space="preserve">,  </w:t>
      </w:r>
    </w:p>
    <w:p>
      <w:pPr>
        <w:pStyle w:val="Normal"/>
        <w:ind w:left="0" w:right="0" w:hanging="0"/>
        <w:jc w:val="center"/>
        <w:rPr>
          <w:sz w:val="20"/>
          <w:szCs w:val="20"/>
        </w:rPr>
      </w:pPr>
      <w:r>
        <w:rPr>
          <w:sz w:val="20"/>
          <w:szCs w:val="20"/>
          <w:lang w:val="en-US"/>
        </w:rPr>
        <w:t>E</w:t>
      </w:r>
      <w:r>
        <w:rPr>
          <w:sz w:val="20"/>
          <w:szCs w:val="20"/>
          <w:vertAlign w:val="subscript"/>
          <w:lang w:val="en-US"/>
        </w:rPr>
        <w:t>4</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[TfO</w:t>
      </w:r>
      <w:r>
        <w:rPr>
          <w:sz w:val="20"/>
          <w:szCs w:val="20"/>
          <w:vertAlign w:val="superscript"/>
          <w:lang w:val="en-US"/>
        </w:rPr>
        <w:t>-</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11170"/>
            <wp:effectExtent l="0" t="0" r="0" b="0"/>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6120130" cy="3011170"/>
                    </a:xfrm>
                    <a:prstGeom prst="rect">
                      <a:avLst/>
                    </a:prstGeom>
                  </pic:spPr>
                </pic:pic>
              </a:graphicData>
            </a:graphic>
          </wp:inline>
        </w:drawing>
      </w:r>
    </w:p>
    <w:p>
      <w:pPr>
        <w:pStyle w:val="Normal"/>
        <w:ind w:left="0" w:right="0" w:hanging="0"/>
        <w:jc w:val="center"/>
        <w:rPr/>
      </w:pPr>
      <w:r>
        <w:rPr>
          <w:lang w:val="en-US"/>
        </w:rPr>
        <w:t xml:space="preserve">Fig. 10.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TsO</w:t>
      </w:r>
      <w:r>
        <w:rPr>
          <w:vertAlign w:val="superscript"/>
          <w:lang w:val="en-US"/>
        </w:rPr>
        <w:t xml:space="preserve">- </w:t>
      </w:r>
      <w:r>
        <w:rPr>
          <w:b/>
          <w:lang w:val="en-US"/>
        </w:rPr>
        <w:t>2</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w:t>
      </w:r>
      <w:r>
        <w:rPr>
          <w:sz w:val="20"/>
          <w:szCs w:val="20"/>
          <w:lang w:val="en-US"/>
        </w:rPr>
        <w:t>s</w:t>
      </w:r>
      <w:r>
        <w:rPr>
          <w:sz w:val="20"/>
          <w:szCs w:val="20"/>
          <w:lang w:val="en-US"/>
        </w:rPr>
        <w:t>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90215"/>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6120130" cy="2990215"/>
                    </a:xfrm>
                    <a:prstGeom prst="rect">
                      <a:avLst/>
                    </a:prstGeom>
                  </pic:spPr>
                </pic:pic>
              </a:graphicData>
            </a:graphic>
          </wp:inline>
        </w:drawing>
      </w:r>
    </w:p>
    <w:p>
      <w:pPr>
        <w:pStyle w:val="Normal"/>
        <w:ind w:left="0" w:right="0" w:hanging="0"/>
        <w:jc w:val="center"/>
        <w:rPr/>
      </w:pPr>
      <w:r>
        <w:rPr>
          <w:lang w:val="en-US"/>
        </w:rPr>
        <w:t xml:space="preserve">Fig. 11.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BF</w:t>
      </w:r>
      <w:r>
        <w:rPr>
          <w:vertAlign w:val="subscript"/>
          <w:lang w:val="en-US"/>
        </w:rPr>
        <w:t>4</w:t>
      </w:r>
      <w:r>
        <w:rPr>
          <w:vertAlign w:val="superscript"/>
          <w:lang w:val="en-US"/>
        </w:rPr>
        <w:t>-</w:t>
      </w:r>
      <w:r>
        <w:rPr>
          <w:lang w:val="en-US"/>
        </w:rPr>
        <w:t xml:space="preserve"> </w:t>
      </w:r>
      <w:r>
        <w:rPr>
          <w:b/>
          <w:lang w:val="en-US"/>
        </w:rPr>
        <w:t>3</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M = </w:t>
      </w:r>
      <w:r>
        <w:rPr>
          <w:sz w:val="20"/>
          <w:szCs w:val="20"/>
          <w:lang w:val="en-US"/>
        </w:rPr>
        <w:t>[</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position w:val="0"/>
          <w:sz w:val="20"/>
          <w:sz w:val="20"/>
          <w:szCs w:val="20"/>
          <w:vertAlign w:val="baseline"/>
          <w:lang w:val="en-US"/>
        </w:rPr>
        <w:t> </w:t>
      </w:r>
      <w:r>
        <w:rPr>
          <w:sz w:val="20"/>
          <w:szCs w:val="20"/>
          <w:lang w:val="en-US"/>
        </w:rPr>
        <w:t>BF</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w:t>
      </w:r>
      <w:r>
        <w:rPr>
          <w:sz w:val="20"/>
          <w:szCs w:val="20"/>
          <w:lang w:val="en-US"/>
        </w:rPr>
        <w:t>BF</w:t>
      </w:r>
      <w:r>
        <w:rPr>
          <w:sz w:val="20"/>
          <w:szCs w:val="20"/>
          <w:vertAlign w:val="subscript"/>
          <w:lang w:val="en-US"/>
        </w:rPr>
        <w:t>4</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rPr>
          <w:sz w:val="12"/>
          <w:szCs w:val="12"/>
          <w:lang w:val="en-US"/>
        </w:rPr>
      </w:pPr>
      <w:r>
        <w:rPr>
          <w:sz w:val="12"/>
          <w:szCs w:val="12"/>
          <w:lang w:val="en-US"/>
        </w:rPr>
      </w:r>
    </w:p>
    <w:p>
      <w:pPr>
        <w:pStyle w:val="Normal"/>
        <w:rPr>
          <w:highlight w:val="yellow"/>
        </w:rPr>
      </w:pPr>
      <w:r>
        <w:rPr>
          <w:highlight w:val="yellow"/>
        </w:rPr>
        <w:t xml:space="preserve">На спектрах </w:t>
      </w:r>
      <w:r>
        <w:rPr>
          <w:highlight w:val="yellow"/>
        </w:rPr>
        <w:t xml:space="preserve">соединений </w:t>
      </w:r>
      <w:r>
        <w:rPr>
          <w:b/>
          <w:bCs/>
          <w:i w:val="false"/>
          <w:iCs w:val="false"/>
          <w:color w:val="auto"/>
          <w:highlight w:val="yellow"/>
        </w:rPr>
        <w:t>1f</w:t>
      </w:r>
      <w:r>
        <w:rPr>
          <w:b w:val="false"/>
          <w:bCs w:val="false"/>
          <w:i w:val="false"/>
          <w:iCs w:val="false"/>
          <w:color w:val="auto"/>
          <w:highlight w:val="yellow"/>
        </w:rPr>
        <w:t xml:space="preserve">, </w:t>
      </w:r>
      <w:r>
        <w:rPr>
          <w:b/>
          <w:bCs w:val="false"/>
          <w:i w:val="false"/>
          <w:iCs w:val="false"/>
          <w:color w:val="auto"/>
          <w:highlight w:val="yellow"/>
        </w:rPr>
        <w:t>1</w:t>
      </w:r>
      <w:r>
        <w:rPr>
          <w:b/>
          <w:bCs w:val="false"/>
          <w:i w:val="false"/>
          <w:iCs w:val="false"/>
          <w:color w:val="auto"/>
          <w:highlight w:val="yellow"/>
        </w:rPr>
        <w:t>h</w:t>
      </w:r>
      <w:r>
        <w:rPr>
          <w:b w:val="false"/>
          <w:bCs w:val="false"/>
          <w:i w:val="false"/>
          <w:iCs w:val="false"/>
          <w:color w:val="auto"/>
          <w:highlight w:val="yellow"/>
        </w:rPr>
        <w:t>,</w:t>
      </w:r>
      <w:r>
        <w:rPr>
          <w:b/>
          <w:bCs w:val="false"/>
          <w:i w:val="false"/>
          <w:iCs w:val="false"/>
          <w:color w:val="auto"/>
          <w:highlight w:val="yellow"/>
        </w:rPr>
        <w:t xml:space="preserve"> </w:t>
      </w:r>
      <w:r>
        <w:rPr>
          <w:b/>
          <w:bCs w:val="false"/>
          <w:i w:val="false"/>
          <w:iCs w:val="false"/>
          <w:color w:val="auto"/>
          <w:highlight w:val="yellow"/>
        </w:rPr>
        <w:t>1</w:t>
      </w:r>
      <w:r>
        <w:rPr>
          <w:b/>
          <w:bCs w:val="false"/>
          <w:i w:val="false"/>
          <w:iCs w:val="false"/>
          <w:color w:val="auto"/>
          <w:highlight w:val="yellow"/>
        </w:rPr>
        <w:t>i</w:t>
      </w:r>
      <w:r>
        <w:rPr>
          <w:highlight w:val="yellow"/>
        </w:rPr>
        <w:t xml:space="preserve"> </w:t>
      </w:r>
      <w:r>
        <w:rPr>
          <w:highlight w:val="yellow"/>
        </w:rPr>
        <w:t xml:space="preserve">были обнаружены массы синхронно повторяющиеся в соответствии с массами кластерных ионов. Эти линии соответствуют частицам, которые образуются после отщепления трифторметансульфокислоты от кластерного катиона (уменьшение массы на </w:t>
      </w:r>
      <w:r>
        <w:rPr>
          <w:highlight w:val="yellow"/>
        </w:rPr>
        <w:t>[HOTf] = </w:t>
      </w:r>
      <w:r>
        <w:rPr>
          <w:highlight w:val="yellow"/>
        </w:rPr>
        <w:t>150.</w:t>
      </w:r>
      <w:r>
        <w:rPr>
          <w:highlight w:val="yellow"/>
        </w:rPr>
        <w:t>0</w:t>
      </w:r>
      <w:r>
        <w:rPr>
          <w:highlight w:val="yellow"/>
        </w:rPr>
        <w:t xml:space="preserve">). Образование </w:t>
      </w:r>
      <w:r>
        <w:rPr>
          <w:color w:val="auto"/>
          <w:highlight w:val="yellow"/>
        </w:rPr>
        <w:t xml:space="preserve">наблюдаемых </w:t>
      </w:r>
      <w:r>
        <w:rPr>
          <w:highlight w:val="yellow"/>
        </w:rPr>
        <w:t xml:space="preserve">катионов может быть объяснено схемами </w:t>
      </w:r>
      <w:r>
        <w:rPr>
          <w:highlight w:val="yellow"/>
        </w:rPr>
        <w:t>5</w:t>
      </w:r>
      <w:r>
        <w:rPr>
          <w:highlight w:val="yellow"/>
        </w:rPr>
        <w:t xml:space="preserve">, </w:t>
      </w:r>
      <w:r>
        <w:rPr>
          <w:b w:val="false"/>
          <w:bCs w:val="false"/>
          <w:i w:val="false"/>
          <w:iCs w:val="false"/>
          <w:color w:val="auto"/>
          <w:highlight w:val="yellow"/>
        </w:rPr>
        <w:t xml:space="preserve">6. При этом, образование </w:t>
      </w:r>
      <w:r>
        <w:rPr>
          <w:b w:val="false"/>
          <w:bCs w:val="false"/>
          <w:i w:val="false"/>
          <w:iCs w:val="false"/>
          <w:color w:val="auto"/>
          <w:highlight w:val="yellow"/>
        </w:rPr>
        <w:t>катиона</w:t>
      </w:r>
      <w:r>
        <w:rPr>
          <w:b w:val="false"/>
          <w:bCs w:val="false"/>
          <w:i w:val="false"/>
          <w:iCs w:val="false"/>
          <w:color w:val="auto"/>
          <w:highlight w:val="yellow"/>
        </w:rPr>
        <w:t xml:space="preserve"> (</w:t>
      </w:r>
      <w:r>
        <w:rPr>
          <w:b w:val="false"/>
          <w:bCs w:val="false"/>
          <w:i w:val="false"/>
          <w:iCs w:val="false"/>
          <w:color w:val="auto"/>
          <w:highlight w:val="yellow"/>
          <w:lang w:val="en-US"/>
        </w:rPr>
        <w:t>G</w:t>
      </w:r>
      <w:r>
        <w:rPr>
          <w:b w:val="false"/>
          <w:bCs w:val="false"/>
          <w:i w:val="false"/>
          <w:iCs w:val="false"/>
          <w:color w:val="auto"/>
          <w:highlight w:val="yellow"/>
        </w:rPr>
        <w:t>) с участием производного бензина (</w:t>
      </w:r>
      <w:r>
        <w:rPr>
          <w:b w:val="false"/>
          <w:bCs w:val="false"/>
          <w:i w:val="false"/>
          <w:iCs w:val="false"/>
          <w:color w:val="auto"/>
          <w:highlight w:val="yellow"/>
          <w:lang w:val="en-US"/>
        </w:rPr>
        <w:t>F</w:t>
      </w:r>
      <w:r>
        <w:rPr>
          <w:b w:val="false"/>
          <w:bCs w:val="false"/>
          <w:i w:val="false"/>
          <w:iCs w:val="false"/>
          <w:color w:val="auto"/>
          <w:highlight w:val="yellow"/>
        </w:rPr>
        <w:t>) может проходить альтернативным образом через реакции циклоприсоединения (</w:t>
      </w:r>
      <w:r>
        <w:rPr>
          <w:b w:val="false"/>
          <w:bCs w:val="false"/>
          <w:i w:val="false"/>
          <w:iCs w:val="false"/>
          <w:color w:val="auto"/>
          <w:highlight w:val="yellow"/>
        </w:rPr>
        <w:t>9</w:t>
      </w:r>
      <w:r>
        <w:rPr>
          <w:b w:val="false"/>
          <w:bCs w:val="false"/>
          <w:i w:val="false"/>
          <w:iCs w:val="false"/>
          <w:color w:val="auto"/>
          <w:highlight w:val="yellow"/>
        </w:rPr>
        <w:t xml:space="preserve">) </w:t>
      </w:r>
      <w:r>
        <w:rPr>
          <w:b w:val="false"/>
          <w:bCs w:val="false"/>
          <w:i w:val="false"/>
          <w:iCs w:val="false"/>
          <w:color w:val="auto"/>
          <w:highlight w:val="yellow"/>
        </w:rPr>
        <w:t>по схеме</w:t>
      </w:r>
      <w:r>
        <w:rPr>
          <w:b w:val="false"/>
          <w:bCs w:val="false"/>
          <w:i w:val="false"/>
          <w:iCs w:val="false"/>
          <w:color w:val="auto"/>
          <w:highlight w:val="yellow"/>
        </w:rPr>
        <w:t xml:space="preserve"> 6.</w:t>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070610"/>
            <wp:effectExtent l="0" t="0" r="0" b="0"/>
            <wp:docPr id="2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 descr=""/>
                    <pic:cNvPicPr>
                      <a:picLocks noChangeAspect="1" noChangeArrowheads="1"/>
                    </pic:cNvPicPr>
                  </pic:nvPicPr>
                  <pic:blipFill>
                    <a:blip r:embed="rId25"/>
                    <a:stretch>
                      <a:fillRect/>
                    </a:stretch>
                  </pic:blipFill>
                  <pic:spPr bwMode="auto">
                    <a:xfrm>
                      <a:off x="0" y="0"/>
                      <a:ext cx="6120130" cy="1070610"/>
                    </a:xfrm>
                    <a:prstGeom prst="rect">
                      <a:avLst/>
                    </a:prstGeom>
                  </pic:spPr>
                </pic:pic>
              </a:graphicData>
            </a:graphic>
          </wp:inline>
        </w:drawing>
      </w:r>
    </w:p>
    <w:p>
      <w:pPr>
        <w:pStyle w:val="Normal"/>
        <w:widowControl/>
        <w:suppressAutoHyphens w:val="true"/>
        <w:bidi w:val="0"/>
        <w:spacing w:lineRule="auto" w:line="312"/>
        <w:ind w:left="0" w:right="0" w:hanging="0"/>
        <w:jc w:val="center"/>
        <w:rPr>
          <w:sz w:val="24"/>
          <w:szCs w:val="24"/>
        </w:rPr>
      </w:pPr>
      <w:r>
        <w:rPr>
          <w:sz w:val="24"/>
          <w:szCs w:val="24"/>
        </w:rPr>
        <w:drawing>
          <wp:inline distT="0" distB="0" distL="0" distR="0">
            <wp:extent cx="6120130" cy="1001395"/>
            <wp:effectExtent l="0" t="0" r="0" b="0"/>
            <wp:docPr id="25"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9" descr=""/>
                    <pic:cNvPicPr>
                      <a:picLocks noChangeAspect="1" noChangeArrowheads="1"/>
                    </pic:cNvPicPr>
                  </pic:nvPicPr>
                  <pic:blipFill>
                    <a:blip r:embed="rId26"/>
                    <a:stretch>
                      <a:fillRect/>
                    </a:stretch>
                  </pic:blipFill>
                  <pic:spPr bwMode="auto">
                    <a:xfrm>
                      <a:off x="0" y="0"/>
                      <a:ext cx="6120130" cy="1001395"/>
                    </a:xfrm>
                    <a:prstGeom prst="rect">
                      <a:avLst/>
                    </a:prstGeom>
                  </pic:spPr>
                </pic:pic>
              </a:graphicData>
            </a:graphic>
          </wp:inline>
        </w:drawing>
      </w:r>
    </w:p>
    <w:p>
      <w:pPr>
        <w:pStyle w:val="Normal"/>
        <w:widowControl/>
        <w:suppressAutoHyphens w:val="true"/>
        <w:bidi w:val="0"/>
        <w:spacing w:lineRule="auto" w:line="312" w:before="0" w:after="113"/>
        <w:ind w:left="0" w:right="0" w:hanging="0"/>
        <w:jc w:val="center"/>
        <w:rPr>
          <w:sz w:val="24"/>
          <w:szCs w:val="24"/>
          <w:highlight w:val="yellow"/>
        </w:rPr>
      </w:pPr>
      <w:r>
        <w:rPr>
          <w:b w:val="false"/>
          <w:bCs w:val="false"/>
          <w:i w:val="false"/>
          <w:iCs w:val="false"/>
          <w:color w:val="auto"/>
          <w:sz w:val="24"/>
          <w:szCs w:val="24"/>
          <w:highlight w:val="yellow"/>
        </w:rPr>
        <w:t xml:space="preserve">Схема 5. Предлагаемые пути образования зафиксированных </w:t>
      </w:r>
      <w:r>
        <w:rPr>
          <w:b w:val="false"/>
          <w:bCs w:val="false"/>
          <w:i w:val="false"/>
          <w:iCs w:val="false"/>
          <w:color w:val="auto"/>
          <w:sz w:val="24"/>
          <w:szCs w:val="24"/>
          <w:highlight w:val="yellow"/>
          <w:lang w:val="en-US"/>
        </w:rPr>
        <w:t>ESI</w:t>
      </w: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lang w:val="en-US"/>
        </w:rPr>
        <w:t>MS</w:t>
      </w:r>
      <w:r>
        <w:rPr>
          <w:b w:val="false"/>
          <w:bCs w:val="false"/>
          <w:i w:val="false"/>
          <w:iCs w:val="false"/>
          <w:color w:val="auto"/>
          <w:sz w:val="24"/>
          <w:szCs w:val="24"/>
          <w:highlight w:val="yellow"/>
        </w:rPr>
        <w:t xml:space="preserve"> интермедиатов</w:t>
      </w:r>
    </w:p>
    <w:p>
      <w:pPr>
        <w:pStyle w:val="Normal"/>
        <w:widowControl/>
        <w:suppressAutoHyphens w:val="true"/>
        <w:bidi w:val="0"/>
        <w:spacing w:lineRule="auto" w:line="312" w:before="0" w:after="113"/>
        <w:ind w:left="0" w:right="0" w:hanging="0"/>
        <w:jc w:val="center"/>
        <w:rPr>
          <w:sz w:val="24"/>
          <w:szCs w:val="24"/>
          <w:highlight w:val="yellow"/>
        </w:rPr>
      </w:pP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rPr>
        <w:t>X = </w:t>
      </w:r>
      <w:r>
        <w:rPr>
          <w:b w:val="false"/>
          <w:bCs w:val="false"/>
          <w:i w:val="false"/>
          <w:iCs w:val="false"/>
          <w:color w:val="auto"/>
          <w:sz w:val="24"/>
          <w:szCs w:val="24"/>
          <w:highlight w:val="yellow"/>
        </w:rPr>
        <w:t xml:space="preserve">H, 4-MeO, </w:t>
      </w:r>
      <w:r>
        <w:rPr>
          <w:b w:val="false"/>
          <w:bCs w:val="false"/>
          <w:i w:val="false"/>
          <w:iCs w:val="false"/>
          <w:color w:val="auto"/>
          <w:sz w:val="24"/>
          <w:szCs w:val="24"/>
          <w:highlight w:val="yellow"/>
        </w:rPr>
        <w:t>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w:t>
      </w:r>
      <w:r>
        <w:rPr>
          <w:b w:val="false"/>
          <w:bCs w:val="false"/>
          <w:i w:val="false"/>
          <w:iCs w:val="false"/>
          <w:color w:val="auto"/>
          <w:sz w:val="24"/>
          <w:szCs w:val="24"/>
          <w:highlight w:val="yellow"/>
        </w:rPr>
        <w:t xml:space="preserve"> 4</w:t>
      </w:r>
      <w:r>
        <w:rPr>
          <w:b w:val="false"/>
          <w:bCs w:val="false"/>
          <w:i w:val="false"/>
          <w:iCs w:val="false"/>
          <w:color w:val="auto"/>
          <w:sz w:val="24"/>
          <w:szCs w:val="24"/>
          <w:highlight w:val="yellow"/>
        </w:rPr>
        <w:t>-HCO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 4-Br, 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-4-Br )</w:t>
      </w:r>
    </w:p>
    <w:p>
      <w:pPr>
        <w:pStyle w:val="Normal"/>
        <w:ind w:left="0" w:right="0" w:hanging="0"/>
        <w:jc w:val="center"/>
        <w:rPr/>
      </w:pPr>
      <w:r>
        <w:rPr/>
        <w:drawing>
          <wp:inline distT="0" distB="0" distL="0" distR="0">
            <wp:extent cx="5049520" cy="1073150"/>
            <wp:effectExtent l="0" t="0" r="0" b="0"/>
            <wp:docPr id="26"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4" descr=""/>
                    <pic:cNvPicPr>
                      <a:picLocks noChangeAspect="1" noChangeArrowheads="1"/>
                    </pic:cNvPicPr>
                  </pic:nvPicPr>
                  <pic:blipFill>
                    <a:blip r:embed="rId27"/>
                    <a:stretch>
                      <a:fillRect/>
                    </a:stretch>
                  </pic:blipFill>
                  <pic:spPr bwMode="auto">
                    <a:xfrm>
                      <a:off x="0" y="0"/>
                      <a:ext cx="5049520" cy="1073150"/>
                    </a:xfrm>
                    <a:prstGeom prst="rect">
                      <a:avLst/>
                    </a:prstGeom>
                  </pic:spPr>
                </pic:pic>
              </a:graphicData>
            </a:graphic>
          </wp:inline>
        </w:drawing>
      </w:r>
    </w:p>
    <w:p>
      <w:pPr>
        <w:pStyle w:val="Normal"/>
        <w:bidi w:val="0"/>
        <w:spacing w:before="0" w:after="113"/>
        <w:ind w:left="0" w:right="0" w:hanging="0"/>
        <w:jc w:val="center"/>
        <w:rPr>
          <w:highlight w:val="yellow"/>
        </w:rPr>
      </w:pPr>
      <w:r>
        <w:rPr>
          <w:sz w:val="24"/>
          <w:szCs w:val="24"/>
          <w:highlight w:val="yellow"/>
        </w:rPr>
        <w:t xml:space="preserve">Схема </w:t>
      </w:r>
      <w:r>
        <w:rPr>
          <w:sz w:val="24"/>
          <w:szCs w:val="24"/>
          <w:highlight w:val="yellow"/>
        </w:rPr>
        <w:t>6</w:t>
      </w:r>
      <w:r>
        <w:rPr>
          <w:sz w:val="24"/>
          <w:szCs w:val="24"/>
          <w:highlight w:val="yellow"/>
        </w:rPr>
        <w:t xml:space="preserve">. Альтернативный путь образования интермедиата (G) через реакцию циклоприсоединения </w:t>
      </w: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rPr>
        <w:t>X = </w:t>
      </w:r>
      <w:r>
        <w:rPr>
          <w:b w:val="false"/>
          <w:bCs w:val="false"/>
          <w:i w:val="false"/>
          <w:iCs w:val="false"/>
          <w:color w:val="auto"/>
          <w:sz w:val="24"/>
          <w:szCs w:val="24"/>
          <w:highlight w:val="yellow"/>
        </w:rPr>
        <w:t xml:space="preserve">H, 4-MeO, </w:t>
      </w:r>
      <w:r>
        <w:rPr>
          <w:b w:val="false"/>
          <w:bCs w:val="false"/>
          <w:i w:val="false"/>
          <w:iCs w:val="false"/>
          <w:color w:val="auto"/>
          <w:sz w:val="24"/>
          <w:szCs w:val="24"/>
          <w:highlight w:val="yellow"/>
        </w:rPr>
        <w:t>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w:t>
      </w:r>
      <w:r>
        <w:rPr>
          <w:b w:val="false"/>
          <w:bCs w:val="false"/>
          <w:i w:val="false"/>
          <w:iCs w:val="false"/>
          <w:color w:val="auto"/>
          <w:sz w:val="24"/>
          <w:szCs w:val="24"/>
          <w:highlight w:val="yellow"/>
        </w:rPr>
        <w:t xml:space="preserve"> 4</w:t>
      </w:r>
      <w:r>
        <w:rPr>
          <w:b w:val="false"/>
          <w:bCs w:val="false"/>
          <w:i w:val="false"/>
          <w:iCs w:val="false"/>
          <w:color w:val="auto"/>
          <w:sz w:val="24"/>
          <w:szCs w:val="24"/>
          <w:highlight w:val="yellow"/>
        </w:rPr>
        <w:t>-HCO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 4-Br, 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-4-Br )</w:t>
      </w:r>
    </w:p>
    <w:p>
      <w:pPr>
        <w:pStyle w:val="Normal"/>
        <w:rPr>
          <w:highlight w:val="yellow"/>
        </w:rPr>
      </w:pPr>
      <w:r>
        <w:rPr>
          <w:highlight w:val="yellow"/>
        </w:rPr>
        <w:t xml:space="preserve">Также на спектрах нитро-производных </w:t>
      </w:r>
      <w:r>
        <w:rPr>
          <w:b/>
          <w:bCs/>
          <w:highlight w:val="yellow"/>
        </w:rPr>
        <w:t>1b</w:t>
      </w:r>
      <w:r>
        <w:rPr>
          <w:highlight w:val="yellow"/>
        </w:rPr>
        <w:t xml:space="preserve">, </w:t>
      </w:r>
      <w:r>
        <w:rPr>
          <w:b/>
          <w:bCs/>
          <w:highlight w:val="yellow"/>
        </w:rPr>
        <w:t>1c</w:t>
      </w:r>
      <w:r>
        <w:rPr>
          <w:highlight w:val="yellow"/>
        </w:rPr>
        <w:t xml:space="preserve">, </w:t>
      </w:r>
      <w:r>
        <w:rPr>
          <w:b/>
          <w:bCs/>
          <w:highlight w:val="yellow"/>
        </w:rPr>
        <w:t>1d</w:t>
      </w:r>
      <w:r>
        <w:rPr>
          <w:highlight w:val="yellow"/>
        </w:rPr>
        <w:t xml:space="preserve">, </w:t>
      </w:r>
      <w:r>
        <w:rPr>
          <w:b/>
          <w:bCs/>
          <w:highlight w:val="yellow"/>
        </w:rPr>
        <w:t>2</w:t>
      </w:r>
      <w:r>
        <w:rPr>
          <w:highlight w:val="yellow"/>
        </w:rPr>
        <w:t xml:space="preserve">, </w:t>
      </w:r>
      <w:r>
        <w:rPr>
          <w:b/>
          <w:bCs/>
          <w:highlight w:val="yellow"/>
        </w:rPr>
        <w:t>3</w:t>
      </w:r>
      <w:r>
        <w:rPr>
          <w:highlight w:val="yellow"/>
        </w:rPr>
        <w:t xml:space="preserve"> присутствуют массы, соответствующие катионам отличающиеся от масс кластерных частиц на величину </w:t>
      </w:r>
      <w:r>
        <w:rPr>
          <w:rFonts w:eastAsia="Liberation Serif" w:cs="Liberation Serif" w:ascii="Liberation Serif" w:hAnsi="Liberation Serif"/>
          <w:sz w:val="18"/>
          <w:szCs w:val="18"/>
          <w:highlight w:val="yellow"/>
        </w:rPr>
        <w:t>∆</w:t>
      </w:r>
      <w:r>
        <w:rPr>
          <w:highlight w:val="yellow"/>
        </w:rPr>
        <w:t>M/Z=</w:t>
        <w:noBreakHyphen/>
        <w:t xml:space="preserve">127.0, причем эта потеря массы не зависит от вида противоиона, что свидетельствует о процессах связанных только с катионом. Этот факт подтверждается подобной потерей массы в случае метокси-замещенной соли диазония </w:t>
      </w:r>
      <w:r>
        <w:rPr>
          <w:b/>
          <w:bCs/>
          <w:highlight w:val="yellow"/>
        </w:rPr>
        <w:t>1e</w:t>
      </w:r>
      <w:r>
        <w:rPr>
          <w:highlight w:val="yellow"/>
        </w:rPr>
        <w:t xml:space="preserve">, </w:t>
      </w:r>
      <w:r>
        <w:rPr>
          <w:rFonts w:eastAsia="Liberation Serif" w:cs="Liberation Serif" w:ascii="Liberation Serif" w:hAnsi="Liberation Serif"/>
          <w:sz w:val="18"/>
          <w:szCs w:val="18"/>
          <w:highlight w:val="yellow"/>
        </w:rPr>
        <w:t>∆</w:t>
      </w:r>
      <w:r>
        <w:rPr>
          <w:highlight w:val="yellow"/>
        </w:rPr>
        <w:t>M/Z=</w:t>
        <w:noBreakHyphen/>
        <w:t>112.1. Эти величины потери массы отличаются в соответствии с разностью масс нитро и метокси-групп. Также следует отметить, что эта потеря массы характерна для кластеров содержащих три и более катионов,  значит для осуществления данного процесса деструкции необходимо участие нескольких катионов. С учетом этих фактов, вероятно потеря массы 127.0 соответствует брутто формуле продуктов отщепления  [C</w:t>
      </w:r>
      <w:r>
        <w:rPr>
          <w:highlight w:val="yellow"/>
          <w:vertAlign w:val="subscript"/>
        </w:rPr>
        <w:t>4</w:t>
      </w:r>
      <w:r>
        <w:rPr>
          <w:highlight w:val="yellow"/>
        </w:rPr>
        <w:t>H</w:t>
      </w:r>
      <w:r>
        <w:rPr>
          <w:highlight w:val="yellow"/>
          <w:vertAlign w:val="subscript"/>
        </w:rPr>
        <w:t>5</w:t>
      </w:r>
      <w:r>
        <w:rPr>
          <w:highlight w:val="yellow"/>
        </w:rPr>
        <w:t>NO</w:t>
      </w:r>
      <w:r>
        <w:rPr>
          <w:highlight w:val="yellow"/>
          <w:vertAlign w:val="subscript"/>
        </w:rPr>
        <w:t>2</w:t>
      </w:r>
      <w:r>
        <w:rPr>
          <w:highlight w:val="yellow"/>
        </w:rPr>
        <w:t>+N</w:t>
      </w:r>
      <w:r>
        <w:rPr>
          <w:highlight w:val="yellow"/>
          <w:vertAlign w:val="subscript"/>
        </w:rPr>
        <w:t>2</w:t>
      </w:r>
      <w:r>
        <w:rPr>
          <w:highlight w:val="yellow"/>
        </w:rPr>
        <w:t xml:space="preserve">] для солей </w:t>
      </w:r>
      <w:r>
        <w:rPr>
          <w:b/>
          <w:bCs/>
          <w:highlight w:val="yellow"/>
        </w:rPr>
        <w:t>1b</w:t>
      </w:r>
      <w:r>
        <w:rPr>
          <w:highlight w:val="yellow"/>
        </w:rPr>
        <w:t xml:space="preserve">, </w:t>
      </w:r>
      <w:r>
        <w:rPr>
          <w:b/>
          <w:bCs/>
          <w:highlight w:val="yellow"/>
        </w:rPr>
        <w:t>1c</w:t>
      </w:r>
      <w:r>
        <w:rPr>
          <w:highlight w:val="yellow"/>
        </w:rPr>
        <w:t xml:space="preserve">, </w:t>
      </w:r>
      <w:r>
        <w:rPr>
          <w:b/>
          <w:bCs/>
          <w:highlight w:val="yellow"/>
        </w:rPr>
        <w:t>1d</w:t>
      </w:r>
      <w:r>
        <w:rPr>
          <w:highlight w:val="yellow"/>
        </w:rPr>
        <w:t xml:space="preserve">, </w:t>
      </w:r>
      <w:r>
        <w:rPr>
          <w:b/>
          <w:bCs/>
          <w:highlight w:val="yellow"/>
        </w:rPr>
        <w:t>2</w:t>
      </w:r>
      <w:r>
        <w:rPr>
          <w:highlight w:val="yellow"/>
        </w:rPr>
        <w:t xml:space="preserve">, </w:t>
      </w:r>
      <w:r>
        <w:rPr>
          <w:b/>
          <w:bCs/>
          <w:highlight w:val="yellow"/>
        </w:rPr>
        <w:t>3</w:t>
      </w:r>
      <w:r>
        <w:rPr>
          <w:highlight w:val="yellow"/>
        </w:rPr>
        <w:t xml:space="preserve"> и [CH</w:t>
      </w:r>
      <w:r>
        <w:rPr>
          <w:highlight w:val="yellow"/>
          <w:vertAlign w:val="subscript"/>
        </w:rPr>
        <w:t>3</w:t>
      </w:r>
      <w:r>
        <w:rPr>
          <w:highlight w:val="yellow"/>
        </w:rPr>
        <w:t>OC</w:t>
      </w:r>
      <w:r>
        <w:rPr>
          <w:highlight w:val="yellow"/>
          <w:vertAlign w:val="subscript"/>
        </w:rPr>
        <w:t>4</w:t>
      </w:r>
      <w:r>
        <w:rPr>
          <w:highlight w:val="yellow"/>
        </w:rPr>
        <w:t>H</w:t>
      </w:r>
      <w:r>
        <w:rPr>
          <w:highlight w:val="yellow"/>
          <w:vertAlign w:val="subscript"/>
        </w:rPr>
        <w:t>5</w:t>
      </w:r>
      <w:r>
        <w:rPr>
          <w:highlight w:val="yellow"/>
        </w:rPr>
        <w:t>+N</w:t>
      </w:r>
      <w:r>
        <w:rPr>
          <w:highlight w:val="yellow"/>
          <w:vertAlign w:val="subscript"/>
        </w:rPr>
        <w:t>2</w:t>
      </w:r>
      <w:r>
        <w:rPr>
          <w:highlight w:val="yellow"/>
        </w:rPr>
        <w:t xml:space="preserve">] в случае </w:t>
      </w:r>
      <w:r>
        <w:rPr>
          <w:b/>
          <w:bCs/>
          <w:highlight w:val="yellow"/>
        </w:rPr>
        <w:t>1e</w:t>
      </w:r>
      <w:r>
        <w:rPr>
          <w:highlight w:val="yellow"/>
        </w:rPr>
        <w:t xml:space="preserve">. Такие продукты распада, с разрушением бензольного кольца, вероятно могут образоваться в результате последующей деструкции соединения </w:t>
      </w:r>
      <w:r>
        <w:rPr>
          <w:b w:val="false"/>
          <w:bCs w:val="false"/>
          <w:highlight w:val="yellow"/>
        </w:rPr>
        <w:t>(H)</w:t>
      </w:r>
      <w:r>
        <w:rPr>
          <w:highlight w:val="yellow"/>
        </w:rPr>
        <w:t xml:space="preserve"> образующейся по реакции цикло-присоединения (9) по схеме 6 или катиона (D) в схеме 5. Эти процессы распада и потери массы кластерными частицами требуют дальнейшего изучения.</w:t>
      </w:r>
    </w:p>
    <w:p>
      <w:pPr>
        <w:pStyle w:val="Normal"/>
        <w:rPr>
          <w:highlight w:val="yellow"/>
        </w:rPr>
      </w:pPr>
      <w:r>
        <w:rPr>
          <w:highlight w:val="yellow"/>
        </w:rPr>
        <w:t>Н</w:t>
      </w:r>
      <w:r>
        <w:rPr>
          <w:highlight w:val="yellow"/>
        </w:rPr>
        <w:t xml:space="preserve">а </w:t>
      </w:r>
      <w:r>
        <w:rPr>
          <w:highlight w:val="yellow"/>
        </w:rPr>
        <w:t xml:space="preserve">ESI/MS </w:t>
      </w:r>
      <w:r>
        <w:rPr>
          <w:highlight w:val="yellow"/>
        </w:rPr>
        <w:t>спектр</w:t>
      </w:r>
      <w:r>
        <w:rPr>
          <w:highlight w:val="yellow"/>
        </w:rPr>
        <w:t>ах</w:t>
      </w:r>
      <w:r>
        <w:rPr>
          <w:highlight w:val="yellow"/>
        </w:rPr>
        <w:t xml:space="preserve"> соединени</w:t>
      </w:r>
      <w:r>
        <w:rPr>
          <w:highlight w:val="yellow"/>
        </w:rPr>
        <w:t>й</w:t>
      </w:r>
      <w:r>
        <w:rPr>
          <w:highlight w:val="yellow"/>
        </w:rPr>
        <w:t xml:space="preserve"> </w:t>
      </w:r>
      <w:r>
        <w:rPr>
          <w:b/>
          <w:bCs/>
          <w:highlight w:val="yellow"/>
        </w:rPr>
        <w:t>1a</w:t>
      </w:r>
      <w:r>
        <w:rPr>
          <w:highlight w:val="yellow"/>
        </w:rPr>
        <w:t xml:space="preserve">, </w:t>
      </w:r>
      <w:r>
        <w:rPr>
          <w:b/>
          <w:bCs/>
          <w:highlight w:val="yellow"/>
        </w:rPr>
        <w:t>1e</w:t>
      </w:r>
      <w:r>
        <w:rPr>
          <w:highlight w:val="yellow"/>
        </w:rPr>
        <w:t xml:space="preserve">, </w:t>
      </w:r>
      <w:r>
        <w:rPr>
          <w:b/>
          <w:bCs/>
          <w:highlight w:val="yellow"/>
        </w:rPr>
        <w:t>1f</w:t>
      </w:r>
      <w:r>
        <w:rPr>
          <w:highlight w:val="yellow"/>
        </w:rPr>
        <w:t xml:space="preserve">, </w:t>
      </w:r>
      <w:r>
        <w:rPr>
          <w:b/>
          <w:highlight w:val="yellow"/>
        </w:rPr>
        <w:t>1g</w:t>
      </w:r>
      <w:r>
        <w:rPr>
          <w:b w:val="false"/>
          <w:bCs w:val="false"/>
          <w:highlight w:val="yellow"/>
        </w:rPr>
        <w:t>,</w:t>
      </w:r>
      <w:r>
        <w:rPr>
          <w:b/>
          <w:highlight w:val="yellow"/>
        </w:rPr>
        <w:t xml:space="preserve"> </w:t>
      </w:r>
      <w:r>
        <w:rPr>
          <w:b/>
          <w:highlight w:val="yellow"/>
        </w:rPr>
        <w:t>1h</w:t>
      </w:r>
      <w:r>
        <w:rPr>
          <w:highlight w:val="yellow"/>
        </w:rPr>
        <w:t xml:space="preserve"> наблюдаются полимерные </w:t>
      </w:r>
      <w:r>
        <w:rPr>
          <w:highlight w:val="yellow"/>
        </w:rPr>
        <w:t>катионы</w:t>
      </w:r>
      <w:r>
        <w:rPr>
          <w:highlight w:val="yellow"/>
        </w:rPr>
        <w:t xml:space="preserve">, с шагом равным массе соответствующего </w:t>
      </w:r>
      <w:r>
        <w:rPr>
          <w:highlight w:val="yellow"/>
        </w:rPr>
        <w:t xml:space="preserve">производного </w:t>
      </w:r>
      <w:r>
        <w:rPr>
          <w:color w:val="auto"/>
          <w:highlight w:val="yellow"/>
        </w:rPr>
        <w:t>бензин</w:t>
      </w:r>
      <w:r>
        <w:rPr>
          <w:color w:val="auto"/>
          <w:highlight w:val="yellow"/>
        </w:rPr>
        <w:t>а</w:t>
      </w:r>
      <w:r>
        <w:rPr>
          <w:color w:val="FF0000"/>
          <w:highlight w:val="yellow"/>
        </w:rPr>
        <w:t xml:space="preserve"> </w:t>
      </w:r>
      <w:r>
        <w:rPr>
          <w:highlight w:val="yellow"/>
        </w:rPr>
        <w:t xml:space="preserve">и степенью полимеризации до 9 </w:t>
      </w:r>
      <w:r>
        <w:rPr>
          <w:highlight w:val="yellow"/>
        </w:rPr>
        <w:t>(таблица 3)</w:t>
      </w:r>
      <w:r>
        <w:rPr>
          <w:highlight w:val="yellow"/>
        </w:rPr>
        <w:t xml:space="preserve">. </w:t>
      </w:r>
      <w:r>
        <w:rPr>
          <w:highlight w:val="yellow"/>
        </w:rPr>
        <w:t>В большинстве случаем первым звеном полимерной цепочки, является</w:t>
      </w:r>
      <w:r>
        <w:rPr>
          <w:highlight w:val="yellow"/>
        </w:rPr>
        <w:t xml:space="preserve"> </w:t>
      </w:r>
      <w:r>
        <w:rPr>
          <w:highlight w:val="yellow"/>
        </w:rPr>
        <w:t xml:space="preserve">диазониевый катион </w:t>
      </w:r>
      <w:r>
        <w:rPr>
          <w:b/>
          <w:bCs/>
          <w:highlight w:val="yellow"/>
        </w:rPr>
        <w:t>1a</w:t>
      </w:r>
      <w:r>
        <w:rPr>
          <w:b/>
          <w:bCs/>
          <w:highlight w:val="yellow"/>
        </w:rPr>
        <w:t>-P1</w:t>
      </w:r>
      <w:r>
        <w:rPr>
          <w:highlight w:val="yellow"/>
        </w:rPr>
        <w:t xml:space="preserve">, </w:t>
      </w:r>
      <w:r>
        <w:rPr>
          <w:b/>
          <w:bCs/>
          <w:highlight w:val="yellow"/>
        </w:rPr>
        <w:t>1e</w:t>
      </w:r>
      <w:r>
        <w:rPr>
          <w:b/>
          <w:bCs/>
          <w:highlight w:val="yellow"/>
        </w:rPr>
        <w:t>-P1</w:t>
      </w:r>
      <w:r>
        <w:rPr>
          <w:highlight w:val="yellow"/>
        </w:rPr>
        <w:t xml:space="preserve">, </w:t>
      </w:r>
      <w:r>
        <w:rPr>
          <w:b/>
          <w:bCs/>
          <w:highlight w:val="yellow"/>
        </w:rPr>
        <w:t>1f</w:t>
      </w:r>
      <w:r>
        <w:rPr>
          <w:b/>
          <w:bCs/>
          <w:highlight w:val="yellow"/>
        </w:rPr>
        <w:t>-P1</w:t>
      </w:r>
      <w:r>
        <w:rPr>
          <w:highlight w:val="yellow"/>
        </w:rPr>
        <w:t xml:space="preserve">, </w:t>
      </w:r>
      <w:r>
        <w:rPr>
          <w:b/>
          <w:highlight w:val="yellow"/>
        </w:rPr>
        <w:t>1g</w:t>
      </w:r>
      <w:r>
        <w:rPr>
          <w:b/>
          <w:highlight w:val="yellow"/>
        </w:rPr>
        <w:t>-P1</w:t>
      </w:r>
      <w:r>
        <w:rPr>
          <w:b w:val="false"/>
          <w:bCs w:val="false"/>
          <w:highlight w:val="yellow"/>
        </w:rPr>
        <w:t>,</w:t>
      </w:r>
      <w:r>
        <w:rPr>
          <w:b/>
          <w:highlight w:val="yellow"/>
        </w:rPr>
        <w:t xml:space="preserve"> 1h</w:t>
      </w:r>
      <w:r>
        <w:rPr>
          <w:b/>
          <w:highlight w:val="yellow"/>
        </w:rPr>
        <w:t>-P1</w:t>
      </w:r>
      <w:r>
        <w:rPr>
          <w:highlight w:val="yellow"/>
        </w:rPr>
        <w:t xml:space="preserve">, который участвует в процессах азосочетания и циклоприсоединения по схемам 5, 6 с последующей полимеризацией (11), (12) по схеме 7. Также встречаются полимерные цепочки, где начальным звеном является арильный катион </w:t>
      </w:r>
      <w:r>
        <w:rPr>
          <w:b/>
          <w:bCs/>
          <w:highlight w:val="yellow"/>
        </w:rPr>
        <w:t>1a</w:t>
      </w:r>
      <w:r>
        <w:rPr>
          <w:b/>
          <w:bCs/>
          <w:highlight w:val="yellow"/>
        </w:rPr>
        <w:t>-P2</w:t>
      </w:r>
      <w:r>
        <w:rPr>
          <w:b/>
          <w:highlight w:val="yellow"/>
        </w:rPr>
        <w:t xml:space="preserve">, </w:t>
      </w:r>
      <w:r>
        <w:rPr>
          <w:b/>
          <w:bCs/>
          <w:highlight w:val="yellow"/>
        </w:rPr>
        <w:t>1f</w:t>
      </w:r>
      <w:r>
        <w:rPr>
          <w:b/>
          <w:bCs/>
          <w:highlight w:val="yellow"/>
        </w:rPr>
        <w:t>-P</w:t>
      </w:r>
      <w:r>
        <w:rPr>
          <w:b/>
          <w:bCs/>
          <w:highlight w:val="yellow"/>
        </w:rPr>
        <w:t>2</w:t>
      </w:r>
      <w:r>
        <w:rPr>
          <w:b/>
          <w:highlight w:val="yellow"/>
        </w:rPr>
        <w:t>, 1g</w:t>
      </w:r>
      <w:r>
        <w:rPr>
          <w:b/>
          <w:highlight w:val="yellow"/>
        </w:rPr>
        <w:t>-P</w:t>
      </w:r>
      <w:r>
        <w:rPr>
          <w:b/>
          <w:highlight w:val="yellow"/>
        </w:rPr>
        <w:t>2</w:t>
      </w:r>
      <w:r>
        <w:rPr>
          <w:b w:val="false"/>
          <w:bCs w:val="false"/>
          <w:highlight w:val="yellow"/>
        </w:rPr>
        <w:t>,</w:t>
      </w:r>
      <w:r>
        <w:rPr>
          <w:b/>
          <w:highlight w:val="yellow"/>
        </w:rPr>
        <w:t xml:space="preserve"> 1h</w:t>
      </w:r>
      <w:r>
        <w:rPr>
          <w:b/>
          <w:highlight w:val="yellow"/>
        </w:rPr>
        <w:t>-P</w:t>
      </w:r>
      <w:r>
        <w:rPr>
          <w:b/>
          <w:highlight w:val="yellow"/>
        </w:rPr>
        <w:t xml:space="preserve">2 </w:t>
      </w:r>
      <w:r>
        <w:rPr>
          <w:b w:val="false"/>
          <w:bCs w:val="false"/>
          <w:highlight w:val="yellow"/>
        </w:rPr>
        <w:t xml:space="preserve">с его дальнейшей полимеризацией (13), (14) по схеме </w:t>
      </w:r>
      <w:r>
        <w:rPr>
          <w:b w:val="false"/>
          <w:bCs w:val="false"/>
          <w:highlight w:val="yellow"/>
        </w:rPr>
        <w:t>7</w:t>
      </w:r>
      <w:r>
        <w:rPr>
          <w:highlight w:val="yellow"/>
        </w:rPr>
        <w:t xml:space="preserve">. Спектры карбокси-замещенных солей диазония </w:t>
      </w:r>
      <w:r>
        <w:rPr>
          <w:b/>
          <w:bCs/>
          <w:highlight w:val="yellow"/>
        </w:rPr>
        <w:t>1f</w:t>
      </w:r>
      <w:r>
        <w:rPr>
          <w:highlight w:val="yellow"/>
        </w:rPr>
        <w:t xml:space="preserve">, </w:t>
      </w:r>
      <w:r>
        <w:rPr>
          <w:b/>
          <w:bCs/>
          <w:highlight w:val="yellow"/>
        </w:rPr>
        <w:t>1g</w:t>
      </w:r>
      <w:r>
        <w:rPr>
          <w:highlight w:val="yellow"/>
        </w:rPr>
        <w:t xml:space="preserve"> имеют еще более сложный характер и сопровождаются процессами декарбоксилирования с образованием продуктов </w:t>
      </w:r>
      <w:r>
        <w:rPr>
          <w:b/>
          <w:bCs/>
          <w:highlight w:val="yellow"/>
        </w:rPr>
        <w:t>1</w:t>
      </w:r>
      <w:r>
        <w:rPr>
          <w:b/>
          <w:bCs/>
          <w:highlight w:val="yellow"/>
        </w:rPr>
        <w:t>f</w:t>
      </w:r>
      <w:r>
        <w:rPr>
          <w:b/>
          <w:bCs/>
          <w:highlight w:val="yellow"/>
        </w:rPr>
        <w:t>-P</w:t>
      </w:r>
      <w:r>
        <w:rPr>
          <w:b/>
          <w:bCs/>
          <w:highlight w:val="yellow"/>
        </w:rPr>
        <w:t>3</w:t>
      </w:r>
      <w:r>
        <w:rPr>
          <w:b/>
          <w:highlight w:val="yellow"/>
        </w:rPr>
        <w:t xml:space="preserve">, </w:t>
      </w:r>
      <w:r>
        <w:rPr>
          <w:b/>
          <w:bCs/>
          <w:highlight w:val="yellow"/>
        </w:rPr>
        <w:t>1f</w:t>
      </w:r>
      <w:r>
        <w:rPr>
          <w:b/>
          <w:bCs/>
          <w:highlight w:val="yellow"/>
        </w:rPr>
        <w:t>-P</w:t>
      </w:r>
      <w:r>
        <w:rPr>
          <w:b/>
          <w:bCs/>
          <w:highlight w:val="yellow"/>
        </w:rPr>
        <w:t>4</w:t>
      </w:r>
      <w:r>
        <w:rPr>
          <w:b/>
          <w:highlight w:val="yellow"/>
        </w:rPr>
        <w:t>, 1g</w:t>
      </w:r>
      <w:r>
        <w:rPr>
          <w:b/>
          <w:highlight w:val="yellow"/>
        </w:rPr>
        <w:t>-P</w:t>
      </w:r>
      <w:r>
        <w:rPr>
          <w:b/>
          <w:highlight w:val="yellow"/>
        </w:rPr>
        <w:t>3</w:t>
      </w:r>
      <w:r>
        <w:rPr>
          <w:highlight w:val="yellow"/>
        </w:rPr>
        <w:t>.</w:t>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501140"/>
            <wp:effectExtent l="0" t="0" r="0" b="0"/>
            <wp:docPr id="2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57" descr=""/>
                    <pic:cNvPicPr>
                      <a:picLocks noChangeAspect="1" noChangeArrowheads="1"/>
                    </pic:cNvPicPr>
                  </pic:nvPicPr>
                  <pic:blipFill>
                    <a:blip r:embed="rId28"/>
                    <a:stretch>
                      <a:fillRect/>
                    </a:stretch>
                  </pic:blipFill>
                  <pic:spPr bwMode="auto">
                    <a:xfrm>
                      <a:off x="0" y="0"/>
                      <a:ext cx="6120130" cy="1501140"/>
                    </a:xfrm>
                    <a:prstGeom prst="rect">
                      <a:avLst/>
                    </a:prstGeom>
                  </pic:spPr>
                </pic:pic>
              </a:graphicData>
            </a:graphic>
          </wp:inline>
        </w:drawing>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097915"/>
            <wp:effectExtent l="0" t="0" r="0" b="0"/>
            <wp:docPr id="28"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59" descr=""/>
                    <pic:cNvPicPr>
                      <a:picLocks noChangeAspect="1" noChangeArrowheads="1"/>
                    </pic:cNvPicPr>
                  </pic:nvPicPr>
                  <pic:blipFill>
                    <a:blip r:embed="rId29"/>
                    <a:stretch>
                      <a:fillRect/>
                    </a:stretch>
                  </pic:blipFill>
                  <pic:spPr bwMode="auto">
                    <a:xfrm>
                      <a:off x="0" y="0"/>
                      <a:ext cx="6120130" cy="1097915"/>
                    </a:xfrm>
                    <a:prstGeom prst="rect">
                      <a:avLst/>
                    </a:prstGeom>
                  </pic:spPr>
                </pic:pic>
              </a:graphicData>
            </a:graphic>
          </wp:inline>
        </w:drawing>
      </w:r>
    </w:p>
    <w:p>
      <w:pPr>
        <w:pStyle w:val="Normal"/>
        <w:widowControl/>
        <w:suppressAutoHyphens w:val="true"/>
        <w:bidi w:val="0"/>
        <w:spacing w:lineRule="auto" w:line="312"/>
        <w:ind w:left="0" w:right="0" w:hanging="0"/>
        <w:jc w:val="center"/>
        <w:rPr>
          <w:sz w:val="12"/>
          <w:szCs w:val="12"/>
          <w:highlight w:val="green"/>
        </w:rPr>
      </w:pPr>
      <w:r>
        <w:rPr>
          <w:sz w:val="12"/>
          <w:szCs w:val="12"/>
          <w:highlight w:val="green"/>
        </w:rPr>
      </w:r>
    </w:p>
    <w:p>
      <w:pPr>
        <w:pStyle w:val="Normal"/>
        <w:bidi w:val="0"/>
        <w:spacing w:before="0" w:after="113"/>
        <w:jc w:val="center"/>
        <w:rPr>
          <w:highlight w:val="yellow"/>
        </w:rPr>
      </w:pPr>
      <w:r>
        <w:rPr>
          <w:b w:val="false"/>
          <w:bCs w:val="false"/>
          <w:i w:val="false"/>
          <w:iCs w:val="false"/>
          <w:color w:val="auto"/>
          <w:highlight w:val="yellow"/>
        </w:rPr>
        <w:t xml:space="preserve">Схема </w:t>
      </w:r>
      <w:r>
        <w:rPr>
          <w:b w:val="false"/>
          <w:bCs w:val="false"/>
          <w:i w:val="false"/>
          <w:iCs w:val="false"/>
          <w:color w:val="auto"/>
          <w:highlight w:val="yellow"/>
        </w:rPr>
        <w:t>7</w:t>
      </w:r>
      <w:r>
        <w:rPr>
          <w:b w:val="false"/>
          <w:bCs w:val="false"/>
          <w:i w:val="false"/>
          <w:iCs w:val="false"/>
          <w:color w:val="auto"/>
          <w:highlight w:val="yellow"/>
        </w:rPr>
        <w:t xml:space="preserve">. Предлагаемые пути образования зафиксированных </w:t>
      </w:r>
      <w:r>
        <w:rPr>
          <w:b w:val="false"/>
          <w:bCs w:val="false"/>
          <w:i w:val="false"/>
          <w:iCs w:val="false"/>
          <w:color w:val="auto"/>
          <w:highlight w:val="yellow"/>
          <w:lang w:val="en-US"/>
        </w:rPr>
        <w:t>ESI</w:t>
      </w:r>
      <w:r>
        <w:rPr>
          <w:b w:val="false"/>
          <w:bCs w:val="false"/>
          <w:i w:val="false"/>
          <w:iCs w:val="false"/>
          <w:color w:val="auto"/>
          <w:highlight w:val="yellow"/>
        </w:rPr>
        <w:t xml:space="preserve"> </w:t>
      </w:r>
      <w:r>
        <w:rPr>
          <w:b w:val="false"/>
          <w:bCs w:val="false"/>
          <w:i w:val="false"/>
          <w:iCs w:val="false"/>
          <w:color w:val="auto"/>
          <w:highlight w:val="yellow"/>
          <w:lang w:val="en-US"/>
        </w:rPr>
        <w:t>MS</w:t>
      </w:r>
      <w:r>
        <w:rPr>
          <w:b w:val="false"/>
          <w:bCs w:val="false"/>
          <w:i w:val="false"/>
          <w:iCs w:val="false"/>
          <w:color w:val="auto"/>
          <w:highlight w:val="yellow"/>
        </w:rPr>
        <w:t xml:space="preserve"> </w:t>
      </w:r>
      <w:r>
        <w:rPr>
          <w:b w:val="false"/>
          <w:bCs w:val="false"/>
          <w:i w:val="false"/>
          <w:iCs w:val="false"/>
          <w:color w:val="auto"/>
          <w:highlight w:val="yellow"/>
        </w:rPr>
        <w:t xml:space="preserve">полимерных катионов </w:t>
      </w: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rPr>
        <w:t>Y</w:t>
      </w:r>
      <w:r>
        <w:rPr>
          <w:b w:val="false"/>
          <w:bCs w:val="false"/>
          <w:i w:val="false"/>
          <w:iCs w:val="false"/>
          <w:color w:val="auto"/>
          <w:sz w:val="24"/>
          <w:szCs w:val="24"/>
          <w:highlight w:val="yellow"/>
        </w:rPr>
        <w:t> = </w:t>
      </w:r>
      <w:r>
        <w:rPr>
          <w:b w:val="false"/>
          <w:bCs w:val="false"/>
          <w:i w:val="false"/>
          <w:iCs w:val="false"/>
          <w:color w:val="auto"/>
          <w:sz w:val="24"/>
          <w:szCs w:val="24"/>
          <w:highlight w:val="yellow"/>
        </w:rPr>
        <w:t xml:space="preserve">H, 4-MeO,  </w:t>
      </w:r>
      <w:r>
        <w:rPr>
          <w:b w:val="false"/>
          <w:bCs w:val="false"/>
          <w:i w:val="false"/>
          <w:iCs w:val="false"/>
          <w:color w:val="auto"/>
          <w:sz w:val="24"/>
          <w:szCs w:val="24"/>
          <w:highlight w:val="yellow"/>
        </w:rPr>
        <w:t>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w:t>
      </w:r>
      <w:r>
        <w:rPr>
          <w:b w:val="false"/>
          <w:bCs w:val="false"/>
          <w:i w:val="false"/>
          <w:iCs w:val="false"/>
          <w:color w:val="auto"/>
          <w:sz w:val="24"/>
          <w:szCs w:val="24"/>
          <w:highlight w:val="yellow"/>
        </w:rPr>
        <w:t xml:space="preserve"> 4</w:t>
      </w:r>
      <w:r>
        <w:rPr>
          <w:b w:val="false"/>
          <w:bCs w:val="false"/>
          <w:i w:val="false"/>
          <w:iCs w:val="false"/>
          <w:color w:val="auto"/>
          <w:sz w:val="24"/>
          <w:szCs w:val="24"/>
          <w:highlight w:val="yellow"/>
        </w:rPr>
        <w:t>-HCO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 xml:space="preserve">, 4-Br; </w:t>
      </w:r>
      <w:r>
        <w:rPr>
          <w:b w:val="false"/>
          <w:bCs w:val="false"/>
          <w:i w:val="false"/>
          <w:iCs w:val="false"/>
          <w:color w:val="auto"/>
          <w:sz w:val="24"/>
          <w:szCs w:val="24"/>
          <w:highlight w:val="yellow"/>
        </w:rPr>
        <w:t xml:space="preserve">   </w:t>
      </w:r>
      <w:r>
        <w:rPr>
          <w:b w:val="false"/>
          <w:bCs w:val="false"/>
          <w:i w:val="false"/>
          <w:iCs w:val="false"/>
          <w:color w:val="auto"/>
          <w:sz w:val="24"/>
          <w:szCs w:val="24"/>
          <w:highlight w:val="yellow"/>
        </w:rPr>
        <w:t>Z</w:t>
      </w:r>
      <w:r>
        <w:rPr>
          <w:b w:val="false"/>
          <w:bCs w:val="false"/>
          <w:i w:val="false"/>
          <w:iCs w:val="false"/>
          <w:color w:val="auto"/>
          <w:sz w:val="24"/>
          <w:szCs w:val="24"/>
          <w:highlight w:val="yellow"/>
        </w:rPr>
        <w:t> = </w:t>
      </w:r>
      <w:r>
        <w:rPr>
          <w:b w:val="false"/>
          <w:bCs w:val="false"/>
          <w:i w:val="false"/>
          <w:iCs w:val="false"/>
          <w:color w:val="auto"/>
          <w:sz w:val="24"/>
          <w:szCs w:val="24"/>
          <w:highlight w:val="yellow"/>
        </w:rPr>
        <w:t xml:space="preserve">H; </w:t>
      </w:r>
      <w:r>
        <w:rPr>
          <w:b w:val="false"/>
          <w:bCs w:val="false"/>
          <w:i w:val="false"/>
          <w:iCs w:val="false"/>
          <w:color w:val="auto"/>
          <w:sz w:val="24"/>
          <w:szCs w:val="24"/>
          <w:highlight w:val="yellow"/>
        </w:rPr>
        <w:t>2-HCO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w:t>
      </w:r>
      <w:r>
        <w:rPr>
          <w:b w:val="false"/>
          <w:bCs w:val="false"/>
          <w:i w:val="false"/>
          <w:iCs w:val="false"/>
          <w:color w:val="auto"/>
          <w:sz w:val="24"/>
          <w:szCs w:val="24"/>
          <w:highlight w:val="yellow"/>
        </w:rPr>
        <w:t xml:space="preserve"> 4</w:t>
      </w:r>
      <w:r>
        <w:rPr>
          <w:b w:val="false"/>
          <w:bCs w:val="false"/>
          <w:i w:val="false"/>
          <w:iCs w:val="false"/>
          <w:color w:val="auto"/>
          <w:sz w:val="24"/>
          <w:szCs w:val="24"/>
          <w:highlight w:val="yellow"/>
        </w:rPr>
        <w:t>-HCO</w:t>
      </w:r>
      <w:r>
        <w:rPr>
          <w:b w:val="false"/>
          <w:bCs w:val="false"/>
          <w:i w:val="false"/>
          <w:iCs w:val="false"/>
          <w:color w:val="auto"/>
          <w:sz w:val="24"/>
          <w:szCs w:val="24"/>
          <w:highlight w:val="yellow"/>
          <w:vertAlign w:val="subscript"/>
        </w:rPr>
        <w:t>2</w:t>
      </w:r>
      <w:r>
        <w:rPr>
          <w:b w:val="false"/>
          <w:bCs w:val="false"/>
          <w:i w:val="false"/>
          <w:iCs w:val="false"/>
          <w:color w:val="auto"/>
          <w:sz w:val="24"/>
          <w:szCs w:val="24"/>
          <w:highlight w:val="yellow"/>
        </w:rPr>
        <w:t>, 4-Br )</w:t>
      </w:r>
    </w:p>
    <w:p>
      <w:pPr>
        <w:pStyle w:val="Normal"/>
        <w:widowControl/>
        <w:suppressAutoHyphens w:val="true"/>
        <w:bidi w:val="0"/>
        <w:spacing w:lineRule="auto" w:line="312"/>
        <w:ind w:left="0" w:right="0" w:hanging="0"/>
        <w:jc w:val="right"/>
        <w:rPr>
          <w:highlight w:val="yellow"/>
        </w:rPr>
      </w:pPr>
      <w:r>
        <w:rPr>
          <w:highlight w:val="yellow"/>
        </w:rPr>
      </w:r>
    </w:p>
    <w:p>
      <w:pPr>
        <w:pStyle w:val="Normal"/>
        <w:widowControl/>
        <w:suppressAutoHyphens w:val="true"/>
        <w:bidi w:val="0"/>
        <w:spacing w:lineRule="auto" w:line="312"/>
        <w:ind w:left="0" w:right="0" w:hanging="0"/>
        <w:jc w:val="right"/>
        <w:rPr>
          <w:highlight w:val="yellow"/>
        </w:rPr>
      </w:pPr>
      <w:r>
        <w:rPr>
          <w:highlight w:val="yellow"/>
        </w:rPr>
        <w:t xml:space="preserve">Таблица </w:t>
      </w:r>
      <w:r>
        <w:rPr>
          <w:highlight w:val="yellow"/>
        </w:rPr>
        <w:t>3</w:t>
      </w:r>
    </w:p>
    <w:p>
      <w:pPr>
        <w:pStyle w:val="Normal"/>
        <w:widowControl/>
        <w:suppressAutoHyphens w:val="true"/>
        <w:bidi w:val="0"/>
        <w:spacing w:lineRule="auto" w:line="312"/>
        <w:ind w:left="0" w:right="0" w:hanging="0"/>
        <w:jc w:val="center"/>
        <w:rPr>
          <w:highlight w:val="yellow"/>
        </w:rPr>
      </w:pPr>
      <w:r>
        <w:rPr>
          <w:highlight w:val="yellow"/>
        </w:rPr>
        <w:t>Полимерные катионы, наблюдаемые в спектрах ESI/MS</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129"/>
        <w:gridCol w:w="510"/>
        <w:gridCol w:w="2900"/>
        <w:gridCol w:w="1070"/>
        <w:gridCol w:w="4029"/>
      </w:tblGrid>
      <w:tr>
        <w:trPr/>
        <w:tc>
          <w:tcPr>
            <w:tcW w:w="112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Compound</w:t>
            </w:r>
          </w:p>
        </w:tc>
        <w:tc>
          <w:tcPr>
            <w:tcW w:w="3410" w:type="dxa"/>
            <w:gridSpan w:val="2"/>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Polimer cation</w:t>
            </w:r>
          </w:p>
        </w:tc>
        <w:tc>
          <w:tcPr>
            <w:tcW w:w="107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n</w:t>
            </w:r>
          </w:p>
        </w:tc>
        <w:tc>
          <w:tcPr>
            <w:tcW w:w="402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M/Z</w:t>
            </w:r>
          </w:p>
        </w:tc>
      </w:tr>
      <w:tr>
        <w:trPr/>
        <w:tc>
          <w:tcPr>
            <w:tcW w:w="1129"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1a</w:t>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P1</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5</w:t>
            </w:r>
            <w:r>
              <w:rPr>
                <w:sz w:val="22"/>
                <w:szCs w:val="22"/>
                <w:highlight w:val="yellow"/>
              </w:rPr>
              <w:t>N</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0-7</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105; 257; 333; 409; 485; 561; 637</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P2</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5</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0-2</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77; 153; 229</w:t>
            </w:r>
          </w:p>
        </w:tc>
      </w:tr>
      <w:tr>
        <w:trPr/>
        <w:tc>
          <w:tcPr>
            <w:tcW w:w="1129"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1e</w:t>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P1</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CH</w:t>
            </w:r>
            <w:r>
              <w:rPr>
                <w:sz w:val="22"/>
                <w:szCs w:val="22"/>
                <w:highlight w:val="yellow"/>
                <w:vertAlign w:val="subscript"/>
              </w:rPr>
              <w:t>3</w:t>
            </w:r>
            <w:r>
              <w:rPr>
                <w:sz w:val="22"/>
                <w:szCs w:val="22"/>
                <w:highlight w:val="yellow"/>
              </w:rPr>
              <w:t>OC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N</w:t>
            </w:r>
            <w:r>
              <w:rPr>
                <w:sz w:val="22"/>
                <w:szCs w:val="22"/>
                <w:highlight w:val="yellow"/>
                <w:vertAlign w:val="subscript"/>
              </w:rPr>
              <w:t>2</w:t>
            </w:r>
            <w:r>
              <w:rPr>
                <w:sz w:val="22"/>
                <w:szCs w:val="22"/>
                <w:highlight w:val="yellow"/>
              </w:rPr>
              <w:t>(CH</w:t>
            </w:r>
            <w:r>
              <w:rPr>
                <w:sz w:val="22"/>
                <w:szCs w:val="22"/>
                <w:highlight w:val="yellow"/>
                <w:vertAlign w:val="subscript"/>
              </w:rPr>
              <w:t>3</w:t>
            </w:r>
            <w:r>
              <w:rPr>
                <w:sz w:val="22"/>
                <w:szCs w:val="22"/>
                <w:highlight w:val="yellow"/>
              </w:rPr>
              <w:t>OC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 2-4, 6-7</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135; 347; 453; 559; 771; 877</w:t>
            </w:r>
          </w:p>
        </w:tc>
      </w:tr>
      <w:tr>
        <w:trPr/>
        <w:tc>
          <w:tcPr>
            <w:tcW w:w="1129"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1f</w:t>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P1</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N</w:t>
            </w:r>
            <w:r>
              <w:rPr>
                <w:sz w:val="22"/>
                <w:szCs w:val="22"/>
                <w:highlight w:val="yellow"/>
                <w:vertAlign w:val="subscript"/>
              </w:rPr>
              <w:t>2</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0-3</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149; 269; 389; 509;</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P2</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0-2</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121; 241; 361</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P3</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5</w:t>
            </w:r>
            <w:r>
              <w:rPr>
                <w:sz w:val="22"/>
                <w:szCs w:val="22"/>
                <w:highlight w:val="yellow"/>
              </w:rPr>
              <w:t>N</w:t>
            </w:r>
            <w:r>
              <w:rPr>
                <w:sz w:val="22"/>
                <w:szCs w:val="22"/>
                <w:highlight w:val="yellow"/>
                <w:vertAlign w:val="subscript"/>
              </w:rPr>
              <w:t>2</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0-4, 6</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105; 225; 345; 465; 585; 825</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P4</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5</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1-3</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197; 317; 437</w:t>
            </w:r>
          </w:p>
        </w:tc>
      </w:tr>
      <w:tr>
        <w:trPr/>
        <w:tc>
          <w:tcPr>
            <w:tcW w:w="1129"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1g</w:t>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P1</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N</w:t>
            </w:r>
            <w:r>
              <w:rPr>
                <w:sz w:val="22"/>
                <w:szCs w:val="22"/>
                <w:highlight w:val="yellow"/>
                <w:vertAlign w:val="subscript"/>
              </w:rPr>
              <w:t>2</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0-3, 4-9</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149; 269; 389; 629; 749; 869; 989; 1109; 1229</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P2</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0-5</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121; 241; 361; 481; 601; 721</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P3</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5</w:t>
            </w:r>
            <w:r>
              <w:rPr>
                <w:sz w:val="22"/>
                <w:szCs w:val="22"/>
                <w:highlight w:val="yellow"/>
              </w:rPr>
              <w:t>(HCO</w:t>
            </w:r>
            <w:r>
              <w:rPr>
                <w:sz w:val="22"/>
                <w:szCs w:val="22"/>
                <w:highlight w:val="yellow"/>
                <w:vertAlign w:val="subscript"/>
              </w:rPr>
              <w:t>2</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0-1</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77; 197</w:t>
            </w:r>
          </w:p>
        </w:tc>
      </w:tr>
      <w:tr>
        <w:trPr/>
        <w:tc>
          <w:tcPr>
            <w:tcW w:w="1129"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highlight w:val="yellow"/>
              </w:rPr>
            </w:pPr>
            <w:r>
              <w:rPr>
                <w:b/>
                <w:bCs/>
                <w:sz w:val="20"/>
                <w:szCs w:val="20"/>
                <w:highlight w:val="yellow"/>
              </w:rPr>
              <w:t>1h</w:t>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P1</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Br</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N</w:t>
            </w:r>
            <w:r>
              <w:rPr>
                <w:sz w:val="22"/>
                <w:szCs w:val="22"/>
                <w:highlight w:val="yellow"/>
                <w:vertAlign w:val="subscript"/>
              </w:rPr>
              <w:t>2</w:t>
            </w:r>
            <w:r>
              <w:rPr>
                <w:sz w:val="22"/>
                <w:szCs w:val="22"/>
                <w:highlight w:val="yellow"/>
              </w:rPr>
              <w:t>(</w:t>
            </w:r>
            <w:r>
              <w:rPr>
                <w:sz w:val="22"/>
                <w:szCs w:val="22"/>
                <w:highlight w:val="yellow"/>
              </w:rPr>
              <w:t>Br</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0-3</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183; 337; 491; 645</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P2</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Br</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4</w:t>
            </w:r>
            <w:r>
              <w:rPr>
                <w:sz w:val="22"/>
                <w:szCs w:val="22"/>
                <w:highlight w:val="yellow"/>
              </w:rPr>
              <w:t>(</w:t>
            </w:r>
            <w:r>
              <w:rPr>
                <w:sz w:val="22"/>
                <w:szCs w:val="22"/>
                <w:highlight w:val="yellow"/>
              </w:rPr>
              <w:t>Br</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0-2</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155; 309; 463</w:t>
            </w:r>
          </w:p>
        </w:tc>
      </w:tr>
      <w:tr>
        <w:trPr/>
        <w:tc>
          <w:tcPr>
            <w:tcW w:w="1129"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51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P3</w:t>
            </w:r>
          </w:p>
        </w:tc>
        <w:tc>
          <w:tcPr>
            <w:tcW w:w="29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highlight w:val="yellow"/>
              </w:rPr>
            </w:pP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(C</w:t>
            </w:r>
            <w:r>
              <w:rPr>
                <w:sz w:val="22"/>
                <w:szCs w:val="22"/>
                <w:highlight w:val="yellow"/>
                <w:vertAlign w:val="subscript"/>
              </w:rPr>
              <w:t>6</w:t>
            </w:r>
            <w:r>
              <w:rPr>
                <w:sz w:val="22"/>
                <w:szCs w:val="22"/>
                <w:highlight w:val="yellow"/>
              </w:rPr>
              <w:t>H</w:t>
            </w:r>
            <w:r>
              <w:rPr>
                <w:sz w:val="22"/>
                <w:szCs w:val="22"/>
                <w:highlight w:val="yellow"/>
                <w:vertAlign w:val="subscript"/>
              </w:rPr>
              <w:t>3</w:t>
            </w:r>
            <w:r>
              <w:rPr>
                <w:sz w:val="22"/>
                <w:szCs w:val="22"/>
                <w:highlight w:val="yellow"/>
              </w:rPr>
              <w:t>)</w:t>
            </w:r>
            <w:r>
              <w:rPr>
                <w:sz w:val="22"/>
                <w:szCs w:val="22"/>
                <w:highlight w:val="yellow"/>
                <w:vertAlign w:val="subscript"/>
              </w:rPr>
              <w:t>n</w:t>
            </w:r>
            <w:r>
              <w:rPr>
                <w:sz w:val="22"/>
                <w:szCs w:val="22"/>
                <w:highlight w:val="yellow"/>
                <w:vertAlign w:val="superscript"/>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highlight w:val="yellow"/>
              </w:rPr>
            </w:pPr>
            <w:r>
              <w:rPr>
                <w:sz w:val="20"/>
                <w:szCs w:val="20"/>
                <w:highlight w:val="yellow"/>
              </w:rPr>
              <w:t>0-2</w:t>
            </w:r>
          </w:p>
        </w:tc>
        <w:tc>
          <w:tcPr>
            <w:tcW w:w="40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highlight w:val="yellow"/>
              </w:rPr>
            </w:pPr>
            <w:r>
              <w:rPr>
                <w:sz w:val="20"/>
                <w:szCs w:val="20"/>
                <w:highlight w:val="yellow"/>
              </w:rPr>
              <w:t>76; 230; 384</w:t>
            </w:r>
          </w:p>
        </w:tc>
      </w:tr>
    </w:tbl>
    <w:p>
      <w:pPr>
        <w:pStyle w:val="Normal"/>
        <w:widowControl/>
        <w:suppressAutoHyphens w:val="true"/>
        <w:bidi w:val="0"/>
        <w:spacing w:lineRule="auto" w:line="312"/>
        <w:ind w:left="0" w:right="0" w:hanging="0"/>
        <w:jc w:val="center"/>
        <w:rPr>
          <w:sz w:val="12"/>
          <w:szCs w:val="12"/>
          <w:highlight w:val="yellow"/>
        </w:rPr>
      </w:pPr>
      <w:r>
        <w:rPr>
          <w:sz w:val="12"/>
          <w:szCs w:val="12"/>
          <w:highlight w:val="yellow"/>
        </w:rPr>
      </w:r>
    </w:p>
    <w:p>
      <w:pPr>
        <w:pStyle w:val="Normal"/>
        <w:rPr/>
      </w:pPr>
      <w:r>
        <w:rPr/>
        <w:t xml:space="preserve">Представляет интерес строение </w:t>
      </w:r>
      <w:r>
        <w:rPr>
          <w:rStyle w:val="Style15"/>
          <w:b w:val="false"/>
          <w:bCs w:val="false"/>
        </w:rPr>
        <w:t xml:space="preserve">нейтральной </w:t>
      </w:r>
      <w:r>
        <w:rPr/>
        <w:t xml:space="preserve">частицы - </w:t>
      </w:r>
      <w:r>
        <w:rPr>
          <w:rStyle w:val="Style15"/>
          <w:b w:val="false"/>
          <w:bCs w:val="false"/>
        </w:rPr>
        <w:t>интермедиата (I)</w:t>
      </w:r>
      <w:r>
        <w:rPr/>
        <w:t>, ее можно представить как цвиттерион. После оптимизации геометрии, азот остается связанным, имеет плоское строение цикла, длины связей C-N=1.413, N-N=1.130 и угол C-N-N=172</w:t>
      </w:r>
      <w:r>
        <w:rPr>
          <w:vertAlign w:val="superscript"/>
        </w:rPr>
        <w:t>o</w:t>
      </w:r>
      <w:r>
        <w:rPr/>
        <w:t xml:space="preserve">. </w:t>
      </w:r>
    </w:p>
    <w:p>
      <w:pPr>
        <w:pStyle w:val="Normal"/>
        <w:jc w:val="center"/>
        <w:rPr/>
      </w:pPr>
      <w:r>
        <w:rPr/>
        <w:drawing>
          <wp:inline distT="0" distB="0" distL="0" distR="0">
            <wp:extent cx="1781175" cy="1777365"/>
            <wp:effectExtent l="0" t="0" r="0" b="0"/>
            <wp:docPr id="29"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4" descr=""/>
                    <pic:cNvPicPr>
                      <a:picLocks noChangeAspect="1" noChangeArrowheads="1"/>
                    </pic:cNvPicPr>
                  </pic:nvPicPr>
                  <pic:blipFill>
                    <a:blip r:embed="rId30"/>
                    <a:stretch>
                      <a:fillRect/>
                    </a:stretch>
                  </pic:blipFill>
                  <pic:spPr bwMode="auto">
                    <a:xfrm>
                      <a:off x="0" y="0"/>
                      <a:ext cx="1781175" cy="1777365"/>
                    </a:xfrm>
                    <a:prstGeom prst="rect">
                      <a:avLst/>
                    </a:prstGeom>
                  </pic:spPr>
                </pic:pic>
              </a:graphicData>
            </a:graphic>
          </wp:inline>
        </w:drawing>
      </w:r>
    </w:p>
    <w:p>
      <w:pPr>
        <w:pStyle w:val="Normal"/>
        <w:jc w:val="center"/>
        <w:rPr>
          <w:highlight w:val="yellow"/>
        </w:rPr>
      </w:pPr>
      <w:r>
        <w:rPr>
          <w:highlight w:val="yellow"/>
        </w:rPr>
        <w:t>Рис 12. Строение интермедиата (I)</w:t>
      </w:r>
    </w:p>
    <w:p>
      <w:pPr>
        <w:pStyle w:val="Normal"/>
        <w:rPr/>
      </w:pPr>
      <w:r>
        <w:rPr/>
        <w:t xml:space="preserve">Сканирование поверхности отщепления азота показывает что существует локальный минимум и барьер 10 кДж/моль при переходе от интермедиата </w:t>
      </w:r>
      <w:r>
        <w:rPr>
          <w:rStyle w:val="Style15"/>
          <w:b w:val="false"/>
          <w:bCs w:val="false"/>
        </w:rPr>
        <w:t xml:space="preserve">(I) к </w:t>
      </w:r>
      <w:r>
        <w:rPr/>
        <w:t xml:space="preserve">бензин производному (F), соответственно соединение (I) является мало устойчивым. Не смотря на малую устойчивость, в кластере частица </w:t>
      </w:r>
      <w:r>
        <w:rPr>
          <w:rStyle w:val="Style15"/>
          <w:b w:val="false"/>
          <w:bCs w:val="false"/>
        </w:rPr>
        <w:t>(I)</w:t>
      </w:r>
      <w:r>
        <w:rPr/>
        <w:t xml:space="preserve"> успевает прореагировать по схеме </w:t>
      </w:r>
      <w:r>
        <w:rPr>
          <w:rStyle w:val="Style15"/>
          <w:b w:val="false"/>
          <w:bCs w:val="false"/>
          <w:highlight w:val="yellow"/>
        </w:rPr>
        <w:t>(6)</w:t>
      </w:r>
      <w:r>
        <w:rPr>
          <w:rStyle w:val="Style15"/>
          <w:b w:val="false"/>
          <w:bCs w:val="false"/>
        </w:rPr>
        <w:t xml:space="preserve"> по причине близкого соседства с еще одним диазониевым катионом, присутствующем в кластере</w:t>
      </w:r>
      <w:r>
        <w:rPr/>
        <w:t>﻿</w:t>
      </w:r>
      <w:r>
        <w:rPr/>
        <w:t>.</w:t>
      </w:r>
    </w:p>
    <w:p>
      <w:pPr>
        <w:pStyle w:val="Normal"/>
        <w:rPr>
          <w:highlight w:val="green"/>
        </w:rPr>
      </w:pPr>
      <w:r>
        <w:rPr>
          <w:highlight w:val="green"/>
        </w:rPr>
      </w:r>
    </w:p>
    <w:p>
      <w:pPr>
        <w:pStyle w:val="Normal"/>
        <w:ind w:left="0" w:right="0" w:hanging="0"/>
        <w:jc w:val="center"/>
        <w:rPr/>
      </w:pPr>
      <w:r>
        <w:rPr/>
        <w:drawing>
          <wp:inline distT="0" distB="0" distL="0" distR="0">
            <wp:extent cx="4765040" cy="3663315"/>
            <wp:effectExtent l="0" t="0" r="0" b="0"/>
            <wp:docPr id="3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5" descr=""/>
                    <pic:cNvPicPr>
                      <a:picLocks noChangeAspect="1" noChangeArrowheads="1"/>
                    </pic:cNvPicPr>
                  </pic:nvPicPr>
                  <pic:blipFill>
                    <a:blip r:embed="rId31"/>
                    <a:stretch>
                      <a:fillRect/>
                    </a:stretch>
                  </pic:blipFill>
                  <pic:spPr bwMode="auto">
                    <a:xfrm>
                      <a:off x="0" y="0"/>
                      <a:ext cx="4765040" cy="3663315"/>
                    </a:xfrm>
                    <a:prstGeom prst="rect">
                      <a:avLst/>
                    </a:prstGeom>
                  </pic:spPr>
                </pic:pic>
              </a:graphicData>
            </a:graphic>
          </wp:inline>
        </w:drawing>
      </w:r>
    </w:p>
    <w:p>
      <w:pPr>
        <w:pStyle w:val="Normal"/>
        <w:ind w:left="0" w:right="0" w:hanging="0"/>
        <w:jc w:val="center"/>
        <w:rPr/>
      </w:pPr>
      <w:r>
        <w:rPr/>
        <w:t xml:space="preserve">Fig. 13. Зависимость энергии интермедиата (I) при увеличении дины </w:t>
      </w:r>
    </w:p>
    <w:p>
      <w:pPr>
        <w:pStyle w:val="Normal"/>
        <w:bidi w:val="0"/>
        <w:spacing w:before="0" w:after="113"/>
        <w:ind w:left="0" w:right="0" w:hanging="0"/>
        <w:jc w:val="center"/>
        <w:rPr/>
      </w:pPr>
      <w:r>
        <w:rPr/>
        <w:t xml:space="preserve">связи C-N в процессе отщепления азота </w:t>
      </w:r>
      <w:r>
        <w:rPr/>
        <w:t>с образованием производного бензина (F)</w:t>
      </w:r>
      <w:r>
        <w:rPr/>
        <w:t xml:space="preserve"> </w:t>
      </w:r>
      <w:r>
        <w:rPr/>
        <w:t xml:space="preserve">по </w:t>
      </w:r>
      <w:r>
        <w:rPr/>
        <w:t>схем</w:t>
      </w:r>
      <w:r>
        <w:rPr/>
        <w:t>е</w:t>
      </w:r>
      <w:r>
        <w:rPr/>
        <w:t xml:space="preserve"> 5.</w:t>
      </w:r>
    </w:p>
    <w:p>
      <w:pPr>
        <w:pStyle w:val="Normal"/>
        <w:widowControl/>
        <w:suppressAutoHyphens w:val="true"/>
        <w:bidi w:val="0"/>
        <w:spacing w:lineRule="auto" w:line="312"/>
        <w:ind w:left="0" w:right="0" w:firstLine="567"/>
        <w:jc w:val="both"/>
        <w:rPr/>
      </w:pPr>
      <w:r>
        <w:rPr/>
        <w:t>Эти процессы происходящие в газовой среде и сопровождающиеся образованием сложных органических веществ важны для использования их в препаративных и технологических целях для модификации поверхностей с помощью высоко-реакционных частиц.</w:t>
      </w:r>
    </w:p>
    <w:p>
      <w:pPr>
        <w:pStyle w:val="13"/>
        <w:numPr>
          <w:ilvl w:val="2"/>
          <w:numId w:val="2"/>
        </w:numPr>
        <w:ind w:left="567" w:right="0" w:hanging="0"/>
        <w:rPr>
          <w:color w:val="000000"/>
        </w:rPr>
      </w:pPr>
      <w:r>
        <w:rPr>
          <w:color w:val="000000"/>
        </w:rPr>
        <w:t>3.2. Фрагментация диазониевых катионов</w:t>
      </w:r>
    </w:p>
    <w:p>
      <w:pPr>
        <w:pStyle w:val="Normal"/>
        <w:rPr>
          <w:highlight w:val="yellow"/>
        </w:rPr>
      </w:pPr>
      <w:r>
        <w:rPr>
          <w:highlight w:val="yellow"/>
        </w:rPr>
        <w:t xml:space="preserve">Впервые </w:t>
      </w:r>
      <w:r>
        <w:rPr>
          <w:highlight w:val="yellow"/>
        </w:rPr>
        <w:t xml:space="preserve">получены </w:t>
      </w:r>
      <w:r>
        <w:rPr>
          <w:highlight w:val="yellow"/>
        </w:rPr>
        <w:t>с</w:t>
      </w:r>
      <w:r>
        <w:rPr>
          <w:highlight w:val="yellow"/>
        </w:rPr>
        <w:t xml:space="preserve">пектры MS2 при фрагментации изолированных диазониевых катионов в ячейке соударений при различных энергиях. Отсутствие некоторых данных связано с низкой интенсивностью исходных ионов прекурсоров. </w:t>
      </w:r>
      <w:r>
        <w:rPr>
          <w:highlight w:val="yellow"/>
        </w:rPr>
        <w:t>Результаты</w:t>
      </w:r>
      <w:r>
        <w:rPr>
          <w:highlight w:val="yellow"/>
        </w:rPr>
        <w:t xml:space="preserve"> представлены в таблице </w:t>
      </w:r>
      <w:r>
        <w:rPr>
          <w:highlight w:val="yellow"/>
        </w:rPr>
        <w:t>4</w:t>
      </w:r>
      <w:r>
        <w:rPr>
          <w:highlight w:val="yellow"/>
        </w:rPr>
        <w:t xml:space="preserve">. </w:t>
      </w:r>
    </w:p>
    <w:p>
      <w:pPr>
        <w:pStyle w:val="Normal"/>
        <w:jc w:val="right"/>
        <w:rPr/>
      </w:pPr>
      <w:r>
        <w:rPr/>
        <w:t xml:space="preserve">Таблица </w:t>
      </w:r>
      <w:r>
        <w:rPr/>
        <w:t>4</w:t>
      </w:r>
      <w:r>
        <w:rPr/>
        <w:t xml:space="preserve">. </w:t>
      </w:r>
    </w:p>
    <w:p>
      <w:pPr>
        <w:pStyle w:val="Normal"/>
        <w:jc w:val="center"/>
        <w:rPr/>
      </w:pPr>
      <w:r>
        <w:rPr/>
        <w:t>Спектр MS2 диазониевых ионов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418"/>
        <w:gridCol w:w="679"/>
        <w:gridCol w:w="1301"/>
        <w:gridCol w:w="1076"/>
        <w:gridCol w:w="1034"/>
        <w:gridCol w:w="1035"/>
        <w:gridCol w:w="1034"/>
        <w:gridCol w:w="1034"/>
        <w:gridCol w:w="1027"/>
      </w:tblGrid>
      <w:tr>
        <w:trPr>
          <w:tblHeader w:val="true"/>
          <w:cantSplit w:val="true"/>
        </w:trPr>
        <w:tc>
          <w:tcPr>
            <w:tcW w:w="1418"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18"/>
                <w:szCs w:val="18"/>
              </w:rPr>
            </w:pPr>
            <w:r>
              <w:rPr>
                <w:sz w:val="18"/>
                <w:szCs w:val="18"/>
              </w:rPr>
              <w:t>Соединение</w:t>
            </w:r>
          </w:p>
        </w:tc>
        <w:tc>
          <w:tcPr>
            <w:tcW w:w="679"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18"/>
                <w:szCs w:val="18"/>
              </w:rPr>
            </w:pPr>
            <w:r>
              <w:rPr>
                <w:sz w:val="18"/>
                <w:szCs w:val="18"/>
              </w:rPr>
              <w:t>Прекурсор</w:t>
            </w:r>
          </w:p>
        </w:tc>
        <w:tc>
          <w:tcPr>
            <w:tcW w:w="7541"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9"/>
              <w:ind w:left="0" w:right="0" w:hanging="0"/>
              <w:rPr>
                <w:sz w:val="18"/>
                <w:szCs w:val="18"/>
              </w:rPr>
            </w:pPr>
            <w:r>
              <w:rPr>
                <w:sz w:val="18"/>
                <w:szCs w:val="18"/>
              </w:rPr>
              <w:t>M/Z, (Int. %)</w:t>
            </w:r>
          </w:p>
        </w:tc>
      </w:tr>
      <w:tr>
        <w:trPr>
          <w:tblHeader w:val="true"/>
          <w:cantSplit w:val="true"/>
        </w:trPr>
        <w:tc>
          <w:tcPr>
            <w:tcW w:w="1418"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679"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0 eV</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0.01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0.1 eV</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1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10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20 eV</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40 eV</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2-NO</w:t>
            </w:r>
            <w:r>
              <w:rPr>
                <w:sz w:val="18"/>
                <w:szCs w:val="18"/>
                <w:vertAlign w:val="subscript"/>
              </w:rPr>
              <w:t>2</w:t>
            </w: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1b</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94.03 (15)</w:t>
            </w:r>
            <w:r>
              <w:rPr>
                <w:sz w:val="18"/>
                <w:szCs w:val="18"/>
              </w:rPr>
              <w:t xml:space="preserve"> </w:t>
            </w:r>
          </w:p>
          <w:p>
            <w:pPr>
              <w:pStyle w:val="Style28"/>
              <w:ind w:left="0" w:right="0" w:hanging="0"/>
              <w:rPr>
                <w:sz w:val="18"/>
                <w:szCs w:val="18"/>
              </w:rPr>
            </w:pPr>
            <w:r>
              <w:rPr>
                <w:sz w:val="18"/>
                <w:szCs w:val="18"/>
              </w:rPr>
              <w:t xml:space="preserve">92.03 (14) </w:t>
            </w:r>
            <w:r>
              <w:rPr>
                <w:sz w:val="18"/>
                <w:szCs w:val="18"/>
              </w:rPr>
              <w:t xml:space="preserve">- </w:t>
            </w:r>
          </w:p>
          <w:p>
            <w:pPr>
              <w:pStyle w:val="Style28"/>
              <w:ind w:left="0" w:right="0"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O</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51.02 (12)</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(16)</w:t>
            </w:r>
          </w:p>
          <w:p>
            <w:pPr>
              <w:pStyle w:val="Style28"/>
              <w:ind w:left="0" w:right="0" w:hanging="0"/>
              <w:rPr>
                <w:sz w:val="18"/>
                <w:szCs w:val="18"/>
              </w:rPr>
            </w:pPr>
            <w:r>
              <w:rPr>
                <w:sz w:val="18"/>
                <w:szCs w:val="18"/>
              </w:rPr>
              <w:t>92.03 (14)</w:t>
            </w:r>
          </w:p>
          <w:p>
            <w:pPr>
              <w:pStyle w:val="Style28"/>
              <w:ind w:left="0" w:right="0" w:hanging="0"/>
              <w:rPr>
                <w:sz w:val="18"/>
                <w:szCs w:val="18"/>
              </w:rPr>
            </w:pPr>
            <w:r>
              <w:rPr>
                <w:sz w:val="18"/>
                <w:szCs w:val="18"/>
              </w:rPr>
              <w:t>51.02 (11)</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(17)</w:t>
            </w:r>
          </w:p>
          <w:p>
            <w:pPr>
              <w:pStyle w:val="Style28"/>
              <w:ind w:left="0" w:right="0" w:hanging="0"/>
              <w:rPr>
                <w:sz w:val="18"/>
                <w:szCs w:val="18"/>
              </w:rPr>
            </w:pPr>
            <w:r>
              <w:rPr>
                <w:sz w:val="18"/>
                <w:szCs w:val="18"/>
              </w:rPr>
              <w:t>92.03 (15)</w:t>
            </w:r>
          </w:p>
          <w:p>
            <w:pPr>
              <w:pStyle w:val="Style28"/>
              <w:ind w:left="0" w:right="0" w:hanging="0"/>
              <w:rPr>
                <w:sz w:val="18"/>
                <w:szCs w:val="18"/>
              </w:rPr>
            </w:pPr>
            <w:r>
              <w:rPr>
                <w:sz w:val="18"/>
                <w:szCs w:val="18"/>
              </w:rPr>
              <w:t>51.03 (12)</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(24)</w:t>
            </w:r>
          </w:p>
          <w:p>
            <w:pPr>
              <w:pStyle w:val="Style28"/>
              <w:ind w:left="0" w:right="0" w:hanging="0"/>
              <w:rPr>
                <w:sz w:val="18"/>
                <w:szCs w:val="18"/>
              </w:rPr>
            </w:pPr>
            <w:r>
              <w:rPr>
                <w:sz w:val="18"/>
                <w:szCs w:val="18"/>
              </w:rPr>
              <w:t>92.03 (22)</w:t>
            </w:r>
          </w:p>
          <w:p>
            <w:pPr>
              <w:pStyle w:val="Style28"/>
              <w:ind w:left="0" w:right="0" w:hanging="0"/>
              <w:rPr>
                <w:sz w:val="18"/>
                <w:szCs w:val="18"/>
              </w:rPr>
            </w:pPr>
            <w:r>
              <w:rPr>
                <w:sz w:val="18"/>
                <w:szCs w:val="18"/>
              </w:rPr>
              <w:t>78.03 (12)</w:t>
            </w:r>
          </w:p>
          <w:p>
            <w:pPr>
              <w:pStyle w:val="Style28"/>
              <w:ind w:left="0" w:right="0" w:hanging="0"/>
              <w:rPr>
                <w:sz w:val="18"/>
                <w:szCs w:val="18"/>
              </w:rPr>
            </w:pPr>
            <w:r>
              <w:rPr>
                <w:sz w:val="18"/>
                <w:szCs w:val="18"/>
              </w:rPr>
              <w:t>51.02 (19)</w:t>
            </w:r>
          </w:p>
          <w:p>
            <w:pPr>
              <w:pStyle w:val="Style28"/>
              <w:ind w:left="0" w:right="0" w:hanging="0"/>
              <w:rPr>
                <w:sz w:val="18"/>
                <w:szCs w:val="18"/>
              </w:rPr>
            </w:pPr>
            <w:r>
              <w:rPr>
                <w:sz w:val="18"/>
                <w:szCs w:val="18"/>
              </w:rPr>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w:t>
            </w:r>
          </w:p>
          <w:p>
            <w:pPr>
              <w:pStyle w:val="Style28"/>
              <w:ind w:left="0" w:right="0" w:hanging="0"/>
              <w:rPr>
                <w:sz w:val="18"/>
                <w:szCs w:val="18"/>
              </w:rPr>
            </w:pPr>
            <w:r>
              <w:rPr>
                <w:sz w:val="18"/>
                <w:szCs w:val="18"/>
              </w:rPr>
              <w:t>94.03 (60)</w:t>
            </w:r>
          </w:p>
          <w:p>
            <w:pPr>
              <w:pStyle w:val="Style28"/>
              <w:ind w:left="0" w:right="0" w:hanging="0"/>
              <w:rPr>
                <w:sz w:val="18"/>
                <w:szCs w:val="18"/>
              </w:rPr>
            </w:pPr>
            <w:r>
              <w:rPr>
                <w:sz w:val="18"/>
                <w:szCs w:val="18"/>
              </w:rPr>
              <w:t>92.03 (96)</w:t>
            </w:r>
          </w:p>
          <w:p>
            <w:pPr>
              <w:pStyle w:val="Style28"/>
              <w:ind w:left="0" w:right="0" w:hanging="0"/>
              <w:rPr>
                <w:sz w:val="18"/>
                <w:szCs w:val="18"/>
              </w:rPr>
            </w:pPr>
            <w:r>
              <w:rPr>
                <w:sz w:val="18"/>
                <w:szCs w:val="18"/>
              </w:rPr>
              <w:t>78.03 (14)</w:t>
            </w:r>
          </w:p>
          <w:p>
            <w:pPr>
              <w:pStyle w:val="Style28"/>
              <w:ind w:left="0" w:right="0" w:hanging="0"/>
              <w:rPr>
                <w:sz w:val="18"/>
                <w:szCs w:val="18"/>
              </w:rPr>
            </w:pPr>
            <w:r>
              <w:rPr>
                <w:sz w:val="18"/>
                <w:szCs w:val="18"/>
              </w:rPr>
              <w:t>64.03 (24)</w:t>
            </w:r>
          </w:p>
          <w:p>
            <w:pPr>
              <w:pStyle w:val="Style28"/>
              <w:ind w:left="0" w:right="0" w:hanging="0"/>
              <w:rPr>
                <w:sz w:val="18"/>
                <w:szCs w:val="18"/>
              </w:rPr>
            </w:pPr>
            <w:r>
              <w:rPr>
                <w:sz w:val="18"/>
                <w:szCs w:val="18"/>
              </w:rPr>
              <w:t>53.00 (55)</w:t>
            </w:r>
          </w:p>
          <w:p>
            <w:pPr>
              <w:pStyle w:val="Style28"/>
              <w:ind w:left="0" w:right="0" w:hanging="0"/>
              <w:rPr>
                <w:sz w:val="18"/>
                <w:szCs w:val="18"/>
              </w:rPr>
            </w:pPr>
            <w:r>
              <w:rPr>
                <w:sz w:val="18"/>
                <w:szCs w:val="18"/>
              </w:rPr>
              <w:t>51.02 (100)</w:t>
            </w:r>
          </w:p>
          <w:p>
            <w:pPr>
              <w:pStyle w:val="Style28"/>
              <w:ind w:left="0" w:right="0" w:hanging="0"/>
              <w:rPr>
                <w:sz w:val="18"/>
                <w:szCs w:val="18"/>
              </w:rPr>
            </w:pPr>
            <w:r>
              <w:rPr>
                <w:sz w:val="18"/>
                <w:szCs w:val="18"/>
              </w:rPr>
              <w:t>39.02 (34)</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94.03 (3)</w:t>
            </w:r>
          </w:p>
          <w:p>
            <w:pPr>
              <w:pStyle w:val="Style28"/>
              <w:ind w:left="0" w:right="0" w:hanging="0"/>
              <w:rPr>
                <w:sz w:val="18"/>
                <w:szCs w:val="18"/>
              </w:rPr>
            </w:pPr>
            <w:r>
              <w:rPr>
                <w:sz w:val="18"/>
                <w:szCs w:val="18"/>
              </w:rPr>
              <w:t>92.03 (20)</w:t>
            </w:r>
          </w:p>
          <w:p>
            <w:pPr>
              <w:pStyle w:val="Style28"/>
              <w:ind w:left="0" w:right="0" w:hanging="0"/>
              <w:rPr>
                <w:sz w:val="18"/>
                <w:szCs w:val="18"/>
              </w:rPr>
            </w:pPr>
            <w:r>
              <w:rPr>
                <w:sz w:val="18"/>
                <w:szCs w:val="18"/>
              </w:rPr>
              <w:t>64.03 (75)</w:t>
            </w:r>
          </w:p>
          <w:p>
            <w:pPr>
              <w:pStyle w:val="Style28"/>
              <w:ind w:left="0" w:right="0" w:hanging="0"/>
              <w:rPr>
                <w:sz w:val="18"/>
                <w:szCs w:val="18"/>
              </w:rPr>
            </w:pPr>
            <w:r>
              <w:rPr>
                <w:sz w:val="18"/>
                <w:szCs w:val="18"/>
              </w:rPr>
              <w:t>63.02 (58)</w:t>
            </w:r>
          </w:p>
          <w:p>
            <w:pPr>
              <w:pStyle w:val="Style28"/>
              <w:ind w:left="0" w:right="0" w:hanging="0"/>
              <w:rPr>
                <w:sz w:val="18"/>
                <w:szCs w:val="18"/>
              </w:rPr>
            </w:pPr>
            <w:r>
              <w:rPr>
                <w:sz w:val="18"/>
                <w:szCs w:val="18"/>
              </w:rPr>
              <w:t>53.00 (100)</w:t>
            </w:r>
          </w:p>
          <w:p>
            <w:pPr>
              <w:pStyle w:val="Style28"/>
              <w:ind w:left="0" w:right="0" w:hanging="0"/>
              <w:rPr>
                <w:sz w:val="18"/>
                <w:szCs w:val="18"/>
              </w:rPr>
            </w:pPr>
            <w:r>
              <w:rPr>
                <w:sz w:val="18"/>
                <w:szCs w:val="18"/>
              </w:rPr>
              <w:t>51.02 (80)</w:t>
            </w:r>
          </w:p>
          <w:p>
            <w:pPr>
              <w:pStyle w:val="Style28"/>
              <w:ind w:left="0" w:right="0" w:hanging="0"/>
              <w:rPr>
                <w:sz w:val="18"/>
                <w:szCs w:val="18"/>
              </w:rPr>
            </w:pPr>
            <w:r>
              <w:rPr>
                <w:sz w:val="18"/>
                <w:szCs w:val="18"/>
              </w:rPr>
              <w:t>39.02 (40)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64.03 (12)</w:t>
            </w:r>
          </w:p>
          <w:p>
            <w:pPr>
              <w:pStyle w:val="Style28"/>
              <w:ind w:left="0" w:right="0" w:hanging="0"/>
              <w:rPr>
                <w:sz w:val="18"/>
                <w:szCs w:val="18"/>
              </w:rPr>
            </w:pPr>
            <w:r>
              <w:rPr>
                <w:sz w:val="18"/>
                <w:szCs w:val="18"/>
              </w:rPr>
              <w:t>63.11 (15)</w:t>
            </w:r>
          </w:p>
          <w:p>
            <w:pPr>
              <w:pStyle w:val="Style28"/>
              <w:ind w:left="0" w:right="0" w:hanging="0"/>
              <w:rPr>
                <w:sz w:val="18"/>
                <w:szCs w:val="18"/>
              </w:rPr>
            </w:pPr>
            <w:r>
              <w:rPr>
                <w:sz w:val="18"/>
                <w:szCs w:val="18"/>
              </w:rPr>
              <w:t>63.02 (100)</w:t>
            </w:r>
          </w:p>
          <w:p>
            <w:pPr>
              <w:pStyle w:val="Style28"/>
              <w:ind w:left="0" w:right="0" w:hanging="0"/>
              <w:rPr>
                <w:sz w:val="18"/>
                <w:szCs w:val="18"/>
              </w:rPr>
            </w:pPr>
            <w:r>
              <w:rPr>
                <w:sz w:val="18"/>
                <w:szCs w:val="18"/>
              </w:rPr>
              <w:t>53.00 (43)</w:t>
            </w:r>
          </w:p>
          <w:p>
            <w:pPr>
              <w:pStyle w:val="Style28"/>
              <w:ind w:left="0" w:right="0" w:hanging="0"/>
              <w:rPr>
                <w:sz w:val="18"/>
                <w:szCs w:val="18"/>
              </w:rPr>
            </w:pPr>
            <w:r>
              <w:rPr>
                <w:sz w:val="18"/>
                <w:szCs w:val="18"/>
              </w:rPr>
              <w:t>51.02 (19)</w:t>
            </w:r>
          </w:p>
          <w:p>
            <w:pPr>
              <w:pStyle w:val="Style28"/>
              <w:ind w:left="0" w:right="0" w:hanging="0"/>
              <w:rPr>
                <w:sz w:val="18"/>
                <w:szCs w:val="18"/>
              </w:rPr>
            </w:pPr>
            <w:r>
              <w:rPr>
                <w:sz w:val="18"/>
                <w:szCs w:val="18"/>
              </w:rPr>
              <w:t>50.02 (17)</w:t>
            </w:r>
          </w:p>
          <w:p>
            <w:pPr>
              <w:pStyle w:val="Style28"/>
              <w:ind w:left="0" w:right="0" w:hanging="0"/>
              <w:rPr>
                <w:sz w:val="18"/>
                <w:szCs w:val="18"/>
              </w:rPr>
            </w:pPr>
            <w:r>
              <w:rPr>
                <w:sz w:val="18"/>
                <w:szCs w:val="18"/>
              </w:rPr>
              <w:t>39.02 (12)</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3-NO2-Ph-N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1c</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1d</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150.03 (26) </w:t>
            </w:r>
            <w:r>
              <w:rPr>
                <w:sz w:val="18"/>
                <w:szCs w:val="18"/>
              </w:rPr>
              <w:t xml:space="preserve">- </w:t>
            </w:r>
          </w:p>
          <w:p>
            <w:pPr>
              <w:pStyle w:val="Style28"/>
              <w:ind w:left="0" w:right="0"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 xml:space="preserve">122.02 (100) </w:t>
            </w:r>
            <w:r>
              <w:rPr>
                <w:sz w:val="18"/>
                <w:szCs w:val="18"/>
              </w:rPr>
              <w:t xml:space="preserve">- </w:t>
            </w:r>
          </w:p>
          <w:p>
            <w:pPr>
              <w:pStyle w:val="Style28"/>
              <w:ind w:left="0" w:right="0"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i w:val="false"/>
                <w:iCs w:val="false"/>
                <w:sz w:val="18"/>
                <w:szCs w:val="18"/>
                <w:vertAlign w:val="superscript"/>
              </w:rPr>
              <w:t>+</w:t>
            </w:r>
            <w:r>
              <w:rPr>
                <w:b/>
                <w:bCs/>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(26)</w:t>
            </w:r>
          </w:p>
          <w:p>
            <w:pPr>
              <w:pStyle w:val="Style28"/>
              <w:ind w:left="0" w:right="0"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(24)</w:t>
            </w:r>
          </w:p>
          <w:p>
            <w:pPr>
              <w:pStyle w:val="Style28"/>
              <w:ind w:left="0" w:right="0" w:hanging="0"/>
              <w:rPr>
                <w:sz w:val="18"/>
                <w:szCs w:val="18"/>
              </w:rPr>
            </w:pPr>
            <w:r>
              <w:rPr>
                <w:sz w:val="18"/>
                <w:szCs w:val="18"/>
              </w:rPr>
              <w:t>122.02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(15)</w:t>
            </w:r>
          </w:p>
          <w:p>
            <w:pPr>
              <w:pStyle w:val="Style28"/>
              <w:ind w:left="0" w:right="0"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(62)</w:t>
            </w:r>
          </w:p>
          <w:p>
            <w:pPr>
              <w:pStyle w:val="Style28"/>
              <w:ind w:left="0" w:right="0" w:hanging="0"/>
              <w:rPr>
                <w:sz w:val="18"/>
                <w:szCs w:val="18"/>
              </w:rPr>
            </w:pPr>
            <w:r>
              <w:rPr>
                <w:sz w:val="18"/>
                <w:szCs w:val="18"/>
              </w:rPr>
              <w:t>92.03 (74)</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(13)</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(0)</w:t>
            </w:r>
          </w:p>
          <w:p>
            <w:pPr>
              <w:pStyle w:val="Style28"/>
              <w:ind w:left="0" w:right="0" w:hanging="0"/>
              <w:rPr>
                <w:sz w:val="18"/>
                <w:szCs w:val="18"/>
              </w:rPr>
            </w:pPr>
            <w:r>
              <w:rPr>
                <w:sz w:val="18"/>
                <w:szCs w:val="18"/>
              </w:rPr>
              <w:t>92.03 (12)</w:t>
            </w:r>
          </w:p>
          <w:p>
            <w:pPr>
              <w:pStyle w:val="Style28"/>
              <w:ind w:left="0" w:right="0" w:hanging="0"/>
              <w:rPr>
                <w:sz w:val="18"/>
                <w:szCs w:val="18"/>
              </w:rPr>
            </w:pPr>
            <w:r>
              <w:rPr>
                <w:sz w:val="18"/>
                <w:szCs w:val="18"/>
              </w:rPr>
              <w:t>76.03 (11)</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(12)</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(0)</w:t>
            </w:r>
          </w:p>
          <w:p>
            <w:pPr>
              <w:pStyle w:val="Style28"/>
              <w:ind w:left="0" w:right="0" w:hanging="0"/>
              <w:rPr>
                <w:sz w:val="18"/>
                <w:szCs w:val="18"/>
              </w:rPr>
            </w:pPr>
            <w:r>
              <w:rPr>
                <w:sz w:val="18"/>
                <w:szCs w:val="18"/>
              </w:rPr>
              <w:t>76.03 (13)</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74.02 (41)</w:t>
            </w:r>
          </w:p>
          <w:p>
            <w:pPr>
              <w:pStyle w:val="Style28"/>
              <w:ind w:left="0" w:right="0" w:hanging="0"/>
              <w:rPr>
                <w:sz w:val="18"/>
                <w:szCs w:val="18"/>
              </w:rPr>
            </w:pPr>
            <w:r>
              <w:rPr>
                <w:sz w:val="18"/>
                <w:szCs w:val="18"/>
              </w:rPr>
              <w:t>64.03 (16)</w:t>
            </w:r>
          </w:p>
          <w:p>
            <w:pPr>
              <w:pStyle w:val="Style28"/>
              <w:ind w:left="0" w:right="0" w:hanging="0"/>
              <w:rPr>
                <w:sz w:val="18"/>
                <w:szCs w:val="18"/>
              </w:rPr>
            </w:pPr>
            <w:r>
              <w:rPr>
                <w:sz w:val="18"/>
                <w:szCs w:val="18"/>
              </w:rPr>
              <w:t>50.02 (20)</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4-CH3O-Ph-N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1e</w:t>
            </w:r>
            <w:r>
              <w:rPr>
                <w:sz w:val="18"/>
                <w:szCs w:val="18"/>
                <w:lang w:val="en-US"/>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135.05</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TsO</w:t>
            </w:r>
            <w:r>
              <w:rPr>
                <w:sz w:val="18"/>
                <w:szCs w:val="18"/>
                <w:vertAlign w:val="superscript"/>
              </w:rPr>
              <w:t>-</w:t>
            </w:r>
            <w:r>
              <w:rPr>
                <w:sz w:val="18"/>
                <w:szCs w:val="18"/>
              </w:rPr>
              <w:t xml:space="preserve"> (</w:t>
            </w:r>
            <w:r>
              <w:rPr>
                <w:b/>
                <w:bCs/>
                <w:sz w:val="18"/>
                <w:szCs w:val="18"/>
              </w:rPr>
              <w:t>2</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BF</w:t>
            </w:r>
            <w:r>
              <w:rPr>
                <w:sz w:val="18"/>
                <w:szCs w:val="18"/>
                <w:vertAlign w:val="subscript"/>
              </w:rPr>
              <w:t>4</w:t>
            </w:r>
            <w:r>
              <w:rPr>
                <w:sz w:val="18"/>
                <w:szCs w:val="18"/>
                <w:vertAlign w:val="superscript"/>
              </w:rPr>
              <w:t>-</w:t>
            </w:r>
            <w:r>
              <w:rPr>
                <w:sz w:val="18"/>
                <w:szCs w:val="18"/>
              </w:rPr>
              <w:t xml:space="preserve"> (</w:t>
            </w:r>
            <w:r>
              <w:rPr>
                <w:b/>
                <w:bCs/>
                <w:sz w:val="18"/>
                <w:szCs w:val="18"/>
              </w:rPr>
              <w:t>3</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2-HOOC-Ph-N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1f</w:t>
            </w:r>
            <w:r>
              <w:rPr>
                <w:sz w:val="18"/>
                <w:szCs w:val="18"/>
                <w:lang w:val="en-US"/>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149.02</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1h</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183.00</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(58)</w:t>
            </w:r>
          </w:p>
          <w:p>
            <w:pPr>
              <w:pStyle w:val="Style28"/>
              <w:ind w:left="0" w:right="0" w:hanging="0"/>
              <w:rPr>
                <w:sz w:val="18"/>
                <w:szCs w:val="18"/>
              </w:rPr>
            </w:pPr>
            <w:r>
              <w:rPr>
                <w:sz w:val="18"/>
                <w:szCs w:val="18"/>
              </w:rPr>
              <w:t>183.00 (52)</w:t>
            </w:r>
          </w:p>
          <w:p>
            <w:pPr>
              <w:pStyle w:val="Style28"/>
              <w:ind w:left="0" w:right="0" w:hanging="0"/>
              <w:rPr>
                <w:b/>
                <w:b/>
                <w:bCs/>
                <w:sz w:val="18"/>
                <w:szCs w:val="18"/>
              </w:rPr>
            </w:pPr>
            <w:r>
              <w:rPr>
                <w:b/>
                <w:bCs/>
                <w:sz w:val="18"/>
                <w:szCs w:val="18"/>
              </w:rPr>
              <w:t>[</w:t>
            </w:r>
            <w:r>
              <w:rPr>
                <w:b/>
                <w:bCs/>
                <w:sz w:val="18"/>
                <w:szCs w:val="18"/>
              </w:rPr>
              <w:t>Br</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rPr>
              <w:t>]</w:t>
            </w:r>
            <w:r>
              <w:rPr>
                <w:b/>
                <w:bCs/>
                <w:sz w:val="18"/>
                <w:szCs w:val="18"/>
                <w:vertAlign w:val="superscript"/>
              </w:rPr>
              <w:t>+</w:t>
            </w:r>
          </w:p>
          <w:p>
            <w:pPr>
              <w:pStyle w:val="Style28"/>
              <w:ind w:left="0" w:right="0" w:hanging="0"/>
              <w:rPr>
                <w:sz w:val="18"/>
                <w:szCs w:val="18"/>
              </w:rPr>
            </w:pPr>
            <w:r>
              <w:rPr>
                <w:sz w:val="18"/>
                <w:szCs w:val="18"/>
              </w:rPr>
              <w:t>156.99 (88)</w:t>
            </w:r>
          </w:p>
          <w:p>
            <w:pPr>
              <w:pStyle w:val="Style28"/>
              <w:ind w:left="0" w:right="0" w:hanging="0"/>
              <w:rPr>
                <w:sz w:val="18"/>
                <w:szCs w:val="18"/>
              </w:rPr>
            </w:pPr>
            <w:r>
              <w:rPr>
                <w:sz w:val="18"/>
                <w:szCs w:val="18"/>
              </w:rPr>
              <w:t>155.00 (100)</w:t>
            </w:r>
          </w:p>
          <w:p>
            <w:pPr>
              <w:pStyle w:val="Style28"/>
              <w:ind w:left="0" w:right="0" w:hanging="0"/>
              <w:rPr>
                <w:b/>
                <w:b/>
                <w:bCs/>
                <w:sz w:val="18"/>
                <w:szCs w:val="18"/>
              </w:rPr>
            </w:pPr>
            <w:r>
              <w:rPr>
                <w:b/>
                <w:bCs/>
                <w:sz w:val="18"/>
                <w:szCs w:val="18"/>
              </w:rPr>
              <w:t>[</w:t>
            </w:r>
            <w:r>
              <w:rPr>
                <w:b/>
                <w:bCs/>
                <w:sz w:val="18"/>
                <w:szCs w:val="18"/>
              </w:rPr>
              <w:t>Br</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w:t>
            </w:r>
            <w:r>
              <w:rPr>
                <w:b/>
                <w:bCs/>
                <w:sz w:val="18"/>
                <w:szCs w:val="18"/>
                <w:vertAlign w:val="superscript"/>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(40)</w:t>
            </w:r>
          </w:p>
          <w:p>
            <w:pPr>
              <w:pStyle w:val="Style28"/>
              <w:ind w:left="0" w:right="0" w:hanging="0"/>
              <w:rPr>
                <w:sz w:val="18"/>
                <w:szCs w:val="18"/>
              </w:rPr>
            </w:pPr>
            <w:r>
              <w:rPr>
                <w:sz w:val="18"/>
                <w:szCs w:val="18"/>
              </w:rPr>
              <w:t>183.00 (58)</w:t>
            </w:r>
          </w:p>
          <w:p>
            <w:pPr>
              <w:pStyle w:val="Style28"/>
              <w:ind w:left="0" w:right="0" w:hanging="0"/>
              <w:rPr>
                <w:sz w:val="18"/>
                <w:szCs w:val="18"/>
              </w:rPr>
            </w:pPr>
            <w:r>
              <w:rPr>
                <w:sz w:val="18"/>
                <w:szCs w:val="18"/>
              </w:rPr>
              <w:t>156.99 (100)</w:t>
            </w:r>
          </w:p>
          <w:p>
            <w:pPr>
              <w:pStyle w:val="Style28"/>
              <w:ind w:left="0" w:right="0" w:hanging="0"/>
              <w:rPr>
                <w:sz w:val="18"/>
                <w:szCs w:val="18"/>
              </w:rPr>
            </w:pPr>
            <w:r>
              <w:rPr>
                <w:sz w:val="18"/>
                <w:szCs w:val="18"/>
              </w:rPr>
              <w:t>155.00 (89)</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(30)</w:t>
            </w:r>
          </w:p>
          <w:p>
            <w:pPr>
              <w:pStyle w:val="Style28"/>
              <w:ind w:left="0" w:right="0" w:hanging="0"/>
              <w:rPr>
                <w:sz w:val="18"/>
                <w:szCs w:val="18"/>
              </w:rPr>
            </w:pPr>
            <w:r>
              <w:rPr>
                <w:sz w:val="18"/>
                <w:szCs w:val="18"/>
              </w:rPr>
              <w:t>183.00 (42)</w:t>
            </w:r>
          </w:p>
          <w:p>
            <w:pPr>
              <w:pStyle w:val="Style28"/>
              <w:ind w:left="0" w:right="0" w:hanging="0"/>
              <w:rPr>
                <w:sz w:val="18"/>
                <w:szCs w:val="18"/>
              </w:rPr>
            </w:pPr>
            <w:r>
              <w:rPr>
                <w:sz w:val="18"/>
                <w:szCs w:val="18"/>
              </w:rPr>
              <w:t>156.99 (100)</w:t>
            </w:r>
          </w:p>
          <w:p>
            <w:pPr>
              <w:pStyle w:val="Style28"/>
              <w:ind w:left="0" w:right="0" w:hanging="0"/>
              <w:rPr>
                <w:sz w:val="18"/>
                <w:szCs w:val="18"/>
              </w:rPr>
            </w:pPr>
            <w:r>
              <w:rPr>
                <w:sz w:val="18"/>
                <w:szCs w:val="18"/>
              </w:rPr>
              <w:t>155.00 (95)</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(0)</w:t>
            </w:r>
          </w:p>
          <w:p>
            <w:pPr>
              <w:pStyle w:val="Style28"/>
              <w:ind w:left="0" w:right="0" w:hanging="0"/>
              <w:rPr>
                <w:sz w:val="18"/>
                <w:szCs w:val="18"/>
              </w:rPr>
            </w:pPr>
            <w:r>
              <w:rPr>
                <w:sz w:val="18"/>
                <w:szCs w:val="18"/>
              </w:rPr>
              <w:t>183.00 (0)</w:t>
            </w:r>
          </w:p>
          <w:p>
            <w:pPr>
              <w:pStyle w:val="Style28"/>
              <w:ind w:left="0" w:right="0" w:hanging="0"/>
              <w:rPr>
                <w:sz w:val="18"/>
                <w:szCs w:val="18"/>
              </w:rPr>
            </w:pPr>
            <w:r>
              <w:rPr>
                <w:sz w:val="18"/>
                <w:szCs w:val="18"/>
              </w:rPr>
              <w:t>156.99 (100)</w:t>
            </w:r>
          </w:p>
          <w:p>
            <w:pPr>
              <w:pStyle w:val="Style28"/>
              <w:ind w:left="0" w:right="0" w:hanging="0"/>
              <w:rPr>
                <w:sz w:val="18"/>
                <w:szCs w:val="18"/>
              </w:rPr>
            </w:pPr>
            <w:r>
              <w:rPr>
                <w:sz w:val="18"/>
                <w:szCs w:val="18"/>
              </w:rPr>
              <w:t>155.00 (65)</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(0)</w:t>
            </w:r>
          </w:p>
          <w:p>
            <w:pPr>
              <w:pStyle w:val="Style28"/>
              <w:ind w:left="0" w:right="0" w:hanging="0"/>
              <w:rPr>
                <w:sz w:val="18"/>
                <w:szCs w:val="18"/>
              </w:rPr>
            </w:pPr>
            <w:r>
              <w:rPr>
                <w:sz w:val="18"/>
                <w:szCs w:val="18"/>
              </w:rPr>
              <w:t>183.00 (0)</w:t>
            </w:r>
          </w:p>
          <w:p>
            <w:pPr>
              <w:pStyle w:val="Style28"/>
              <w:ind w:left="0" w:right="0" w:hanging="0"/>
              <w:rPr>
                <w:sz w:val="18"/>
                <w:szCs w:val="18"/>
              </w:rPr>
            </w:pPr>
            <w:r>
              <w:rPr>
                <w:sz w:val="18"/>
                <w:szCs w:val="18"/>
              </w:rPr>
              <w:t>156.99 (97)</w:t>
            </w:r>
          </w:p>
          <w:p>
            <w:pPr>
              <w:pStyle w:val="Style28"/>
              <w:ind w:left="0" w:right="0" w:hanging="0"/>
              <w:rPr>
                <w:sz w:val="18"/>
                <w:szCs w:val="18"/>
              </w:rPr>
            </w:pPr>
            <w:r>
              <w:rPr>
                <w:sz w:val="18"/>
                <w:szCs w:val="18"/>
              </w:rPr>
              <w:t>155.00 (100)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76.08 (100)</w:t>
            </w:r>
          </w:p>
          <w:p>
            <w:pPr>
              <w:pStyle w:val="Style28"/>
              <w:ind w:left="0" w:right="0" w:hanging="0"/>
              <w:rPr>
                <w:sz w:val="18"/>
                <w:szCs w:val="18"/>
              </w:rPr>
            </w:pPr>
            <w:r>
              <w:rPr>
                <w:sz w:val="18"/>
                <w:szCs w:val="18"/>
              </w:rPr>
              <w:t>50.06 (56)</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1a</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105.05 (20) </w:t>
            </w:r>
            <w:r>
              <w:rPr>
                <w:sz w:val="18"/>
                <w:szCs w:val="18"/>
              </w:rPr>
              <w:t xml:space="preserve">- </w:t>
            </w:r>
          </w:p>
          <w:p>
            <w:pPr>
              <w:pStyle w:val="Style28"/>
              <w:ind w:left="0" w:right="0"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rPr>
              <w:t>N</w:t>
            </w:r>
            <w:r>
              <w:rPr>
                <w:b/>
                <w:bCs/>
                <w:sz w:val="18"/>
                <w:szCs w:val="18"/>
                <w:vertAlign w:val="subscript"/>
              </w:rPr>
              <w:t>2</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 xml:space="preserve">77.06 (100) </w:t>
            </w:r>
            <w:r>
              <w:rPr>
                <w:sz w:val="18"/>
                <w:szCs w:val="18"/>
              </w:rPr>
              <w:t xml:space="preserve">- </w:t>
            </w:r>
          </w:p>
          <w:p>
            <w:pPr>
              <w:pStyle w:val="Style28"/>
              <w:ind w:left="0" w:right="0"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i w:val="false"/>
                <w:iCs w:val="false"/>
                <w:sz w:val="18"/>
                <w:szCs w:val="18"/>
                <w:vertAlign w:val="superscript"/>
              </w:rPr>
              <w:t>+</w:t>
            </w:r>
            <w:r>
              <w:rPr>
                <w:b/>
                <w:bCs/>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(22)</w:t>
            </w:r>
          </w:p>
          <w:p>
            <w:pPr>
              <w:pStyle w:val="Style28"/>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(17)</w:t>
            </w:r>
          </w:p>
          <w:p>
            <w:pPr>
              <w:pStyle w:val="Style28"/>
              <w:ind w:left="0" w:right="0" w:hanging="0"/>
              <w:rPr>
                <w:sz w:val="18"/>
                <w:szCs w:val="18"/>
              </w:rPr>
            </w:pPr>
            <w:r>
              <w:rPr>
                <w:sz w:val="18"/>
                <w:szCs w:val="18"/>
              </w:rPr>
              <w:t>77.06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(9)</w:t>
            </w:r>
          </w:p>
          <w:p>
            <w:pPr>
              <w:pStyle w:val="Style28"/>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(0)</w:t>
            </w:r>
          </w:p>
          <w:p>
            <w:pPr>
              <w:pStyle w:val="Style28"/>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(0)</w:t>
            </w:r>
          </w:p>
          <w:p>
            <w:pPr>
              <w:pStyle w:val="Style28"/>
              <w:ind w:left="0" w:right="0" w:hanging="0"/>
              <w:rPr>
                <w:sz w:val="18"/>
                <w:szCs w:val="18"/>
              </w:rPr>
            </w:pPr>
            <w:r>
              <w:rPr>
                <w:sz w:val="18"/>
                <w:szCs w:val="18"/>
              </w:rPr>
              <w:t>77.06 (100)</w:t>
            </w:r>
          </w:p>
          <w:p>
            <w:pPr>
              <w:pStyle w:val="Style28"/>
              <w:ind w:left="0" w:right="0" w:hanging="0"/>
              <w:rPr>
                <w:sz w:val="18"/>
                <w:szCs w:val="18"/>
              </w:rPr>
            </w:pPr>
            <w:r>
              <w:rPr>
                <w:sz w:val="18"/>
                <w:szCs w:val="18"/>
              </w:rPr>
              <w:t>51.06 (47)</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51.06 (100)</w:t>
            </w:r>
          </w:p>
          <w:p>
            <w:pPr>
              <w:pStyle w:val="Style28"/>
              <w:ind w:left="0" w:right="0" w:hanging="0"/>
              <w:rPr>
                <w:sz w:val="18"/>
                <w:szCs w:val="18"/>
              </w:rPr>
            </w:pPr>
            <w:r>
              <w:rPr>
                <w:sz w:val="18"/>
                <w:szCs w:val="18"/>
              </w:rPr>
              <w:t>42.07 (38)</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1g</w:t>
            </w:r>
            <w:r>
              <w:rPr>
                <w:sz w:val="18"/>
                <w:szCs w:val="18"/>
                <w:lang w:val="en-US"/>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149.05 (16) </w:t>
            </w:r>
            <w:r>
              <w:rPr>
                <w:sz w:val="18"/>
                <w:szCs w:val="18"/>
              </w:rPr>
              <w:t xml:space="preserve">- </w:t>
            </w:r>
          </w:p>
          <w:p>
            <w:pPr>
              <w:pStyle w:val="Style28"/>
              <w:ind w:left="0" w:right="0" w:hanging="0"/>
              <w:rPr>
                <w:b/>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 xml:space="preserve">121.02 (100) </w:t>
            </w:r>
            <w:r>
              <w:rPr>
                <w:sz w:val="18"/>
                <w:szCs w:val="18"/>
              </w:rPr>
              <w:t xml:space="preserve">- </w:t>
            </w:r>
          </w:p>
          <w:p>
            <w:pPr>
              <w:pStyle w:val="Style28"/>
              <w:ind w:left="0" w:right="0" w:hanging="0"/>
              <w:rPr>
                <w:b/>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i w:val="false"/>
                <w:iCs w:val="false"/>
                <w:sz w:val="18"/>
                <w:szCs w:val="18"/>
                <w:vertAlign w:val="superscript"/>
              </w:rPr>
              <w:t>+</w:t>
            </w:r>
            <w:r>
              <w:rPr>
                <w:b/>
                <w:bCs/>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(11)</w:t>
            </w:r>
          </w:p>
          <w:p>
            <w:pPr>
              <w:pStyle w:val="Style28"/>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(16)</w:t>
            </w:r>
          </w:p>
          <w:p>
            <w:pPr>
              <w:pStyle w:val="Style28"/>
              <w:ind w:left="0" w:right="0" w:hanging="0"/>
              <w:rPr>
                <w:sz w:val="18"/>
                <w:szCs w:val="18"/>
              </w:rPr>
            </w:pPr>
            <w:r>
              <w:rPr>
                <w:sz w:val="18"/>
                <w:szCs w:val="18"/>
              </w:rPr>
              <w:t>121.02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(11)</w:t>
            </w:r>
          </w:p>
          <w:p>
            <w:pPr>
              <w:pStyle w:val="Style28"/>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(0)</w:t>
            </w:r>
          </w:p>
          <w:p>
            <w:pPr>
              <w:pStyle w:val="Style28"/>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65.07 (100)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65.07 (27)</w:t>
            </w:r>
          </w:p>
          <w:p>
            <w:pPr>
              <w:pStyle w:val="Style28"/>
              <w:ind w:left="0" w:right="0" w:hanging="0"/>
              <w:rPr>
                <w:sz w:val="18"/>
                <w:szCs w:val="18"/>
              </w:rPr>
            </w:pPr>
            <w:r>
              <w:rPr>
                <w:sz w:val="18"/>
                <w:szCs w:val="18"/>
              </w:rPr>
              <w:t>39.06 (100)</w:t>
            </w:r>
          </w:p>
        </w:tc>
      </w:tr>
    </w:tbl>
    <w:p>
      <w:pPr>
        <w:pStyle w:val="Style24"/>
        <w:rPr>
          <w:color w:val="FF9900"/>
        </w:rPr>
      </w:pPr>
      <w:r>
        <w:rPr>
          <w:color w:val="FF9900"/>
        </w:rPr>
      </w:r>
    </w:p>
    <w:p>
      <w:pPr>
        <w:pStyle w:val="Normal"/>
        <w:rPr/>
      </w:pPr>
      <w:r>
        <w:rPr/>
        <w:t xml:space="preserve">Общей для всех катионов является  фрагментация с потерей азота. Существенное изменение </w:t>
      </w:r>
      <w:r>
        <w:rPr>
          <w:color w:val="auto"/>
        </w:rPr>
        <w:t xml:space="preserve">интенсивностей </w:t>
      </w:r>
      <w:r>
        <w:rPr/>
        <w:t xml:space="preserve">происходит при энергиях столкновений более 1 эВ. При повышении энергии до 10 эВ происходит практически полное разрушение диазониевых частиц и превращению их в арильные катионы. </w:t>
      </w:r>
      <w:r>
        <w:rPr/>
        <w:t>Это свидетельствует о том, что энергия отщепления азота составляет величину порядка 1 эВ.</w:t>
      </w:r>
    </w:p>
    <w:p>
      <w:pPr>
        <w:pStyle w:val="Normal"/>
        <w:rPr/>
      </w:pPr>
      <w:r>
        <w:rPr/>
        <w:t>В случае столкновений с энергий 20 и 40 эВ, степень фрагментации становится настолько высокой, что уже  практически не наблюдается диазониевых и арильных катионов, а регистрируемые массы соотвествуют фрагментам бензольного кольца. По данным базы данных METLIN массы 76.03 (C</w:t>
      </w:r>
      <w:r>
        <w:rPr>
          <w:vertAlign w:val="subscript"/>
        </w:rPr>
        <w:t>6</w:t>
      </w:r>
      <w:r>
        <w:rPr/>
        <w:t>H</w:t>
      </w:r>
      <w:r>
        <w:rPr>
          <w:vertAlign w:val="subscript"/>
        </w:rPr>
        <w:t>4</w:t>
      </w:r>
      <w:r>
        <w:rPr>
          <w:vertAlign w:val="superscript"/>
        </w:rPr>
        <w:t>+</w:t>
      </w:r>
      <w:r>
        <w:rPr/>
        <w:t>), 75.02 (C</w:t>
      </w:r>
      <w:r>
        <w:rPr>
          <w:vertAlign w:val="subscript"/>
        </w:rPr>
        <w:t>6</w:t>
      </w:r>
      <w:r>
        <w:rPr/>
        <w:t>H</w:t>
      </w:r>
      <w:r>
        <w:rPr>
          <w:vertAlign w:val="subscript"/>
        </w:rPr>
        <w:t>3</w:t>
      </w:r>
      <w:r>
        <w:rPr>
          <w:vertAlign w:val="superscript"/>
        </w:rPr>
        <w:t>+</w:t>
      </w:r>
      <w:r>
        <w:rPr/>
        <w:t>), 65.04 (C</w:t>
      </w:r>
      <w:r>
        <w:rPr>
          <w:vertAlign w:val="subscript"/>
        </w:rPr>
        <w:t>5</w:t>
      </w:r>
      <w:r>
        <w:rPr/>
        <w:t>H</w:t>
      </w:r>
      <w:r>
        <w:rPr>
          <w:vertAlign w:val="subscript"/>
        </w:rPr>
        <w:t>5</w:t>
      </w:r>
      <w:r>
        <w:rPr>
          <w:vertAlign w:val="superscript"/>
        </w:rPr>
        <w:t>+</w:t>
      </w:r>
      <w:r>
        <w:rPr/>
        <w:t>), 64.03 (C</w:t>
      </w:r>
      <w:r>
        <w:rPr>
          <w:vertAlign w:val="subscript"/>
        </w:rPr>
        <w:t>5</w:t>
      </w:r>
      <w:r>
        <w:rPr/>
        <w:t>H</w:t>
      </w:r>
      <w:r>
        <w:rPr>
          <w:vertAlign w:val="subscript"/>
        </w:rPr>
        <w:t>4</w:t>
      </w:r>
      <w:r>
        <w:rPr>
          <w:vertAlign w:val="superscript"/>
        </w:rPr>
        <w:t>+</w:t>
      </w:r>
      <w:r>
        <w:rPr/>
        <w:t>), 51.02 (C</w:t>
      </w:r>
      <w:r>
        <w:rPr>
          <w:vertAlign w:val="subscript"/>
        </w:rPr>
        <w:t>4</w:t>
      </w:r>
      <w:r>
        <w:rPr/>
        <w:t>H</w:t>
      </w:r>
      <w:r>
        <w:rPr>
          <w:vertAlign w:val="subscript"/>
        </w:rPr>
        <w:t>3</w:t>
      </w:r>
      <w:r>
        <w:rPr>
          <w:vertAlign w:val="superscript"/>
        </w:rPr>
        <w:t>+</w:t>
      </w:r>
      <w:r>
        <w:rPr/>
        <w:t>), 39.02 (C</w:t>
      </w:r>
      <w:r>
        <w:rPr>
          <w:vertAlign w:val="subscript"/>
        </w:rPr>
        <w:t>3</w:t>
      </w:r>
      <w:r>
        <w:rPr/>
        <w:t>H</w:t>
      </w:r>
      <w:r>
        <w:rPr>
          <w:vertAlign w:val="subscript"/>
        </w:rPr>
        <w:t>3</w:t>
      </w:r>
      <w:r>
        <w:rPr>
          <w:vertAlign w:val="superscript"/>
        </w:rPr>
        <w:t>+</w:t>
      </w:r>
      <w:r>
        <w:rPr/>
        <w:t xml:space="preserve">) </w:t>
      </w:r>
      <w:r>
        <w:rPr>
          <w:highlight w:val="yellow"/>
        </w:rPr>
        <w:t xml:space="preserve">являются типичными осколками фрагментации при высоких энергиях соударений </w:t>
      </w:r>
      <w:r>
        <w:rPr>
          <w:highlight w:val="yellow"/>
        </w:rPr>
        <w:t>для</w:t>
      </w:r>
      <w:r>
        <w:rPr>
          <w:highlight w:val="yellow"/>
        </w:rPr>
        <w:t xml:space="preserve"> </w:t>
      </w:r>
      <w:r>
        <w:rPr>
          <w:highlight w:val="yellow"/>
        </w:rPr>
        <w:t>соединений содержащих бензольное ядро, этим ДС не отличаются от других ароматических соединений</w:t>
      </w:r>
      <w:r>
        <w:rPr>
          <w:highlight w:val="yellow"/>
        </w:rPr>
        <w:t>.</w:t>
      </w:r>
      <w:r>
        <w:rPr/>
        <w:t xml:space="preserve"> Фрагмент имеющий M/Z=92.03 соответствует брутто формуле C</w:t>
      </w:r>
      <w:r>
        <w:rPr>
          <w:vertAlign w:val="subscript"/>
        </w:rPr>
        <w:t>6</w:t>
      </w:r>
      <w:r>
        <w:rPr/>
        <w:t>H</w:t>
      </w:r>
      <w:r>
        <w:rPr>
          <w:vertAlign w:val="subscript"/>
        </w:rPr>
        <w:t>4</w:t>
      </w:r>
      <w:r>
        <w:rPr/>
        <w:t>O</w:t>
      </w:r>
      <w:r>
        <w:rPr>
          <w:vertAlign w:val="superscript"/>
        </w:rPr>
        <w:t>+</w:t>
      </w:r>
      <w:r>
        <w:rPr/>
        <w:t>, по версии авторов [15n], вероятно, является продуктом присоединения молекулы воды элюента к фенильному катиону с последующим отщеплением водорода.</w:t>
      </w:r>
    </w:p>
    <w:p>
      <w:pPr>
        <w:pStyle w:val="Style24"/>
        <w:numPr>
          <w:ilvl w:val="2"/>
          <w:numId w:val="2"/>
        </w:numPr>
        <w:spacing w:lineRule="auto" w:line="312" w:before="0" w:after="0"/>
        <w:ind w:left="0" w:right="0" w:firstLine="567"/>
        <w:rPr/>
      </w:pPr>
      <w:r>
        <w:rPr>
          <w:color w:val="000000"/>
        </w:rPr>
        <w:t xml:space="preserve">Для теоретического описания процессов фрагментации мы рассчитали методом DFT B3LYP термодинамику процессов отщепления азота от диазониевого катиона в газовой фазе (таблица </w:t>
      </w:r>
      <w:r>
        <w:rPr>
          <w:color w:val="000000"/>
        </w:rPr>
        <w:t>2</w:t>
      </w:r>
      <w:r>
        <w:rPr>
          <w:color w:val="000000"/>
        </w:rPr>
        <w:t>S.</w:t>
      </w:r>
      <w:r>
        <w:rPr>
          <w:color w:val="000000"/>
        </w:rPr>
        <w:t>2</w:t>
      </w:r>
      <w:r>
        <w:rPr>
          <w:color w:val="000000"/>
        </w:rPr>
        <w:t xml:space="preserve"> в приложении </w:t>
      </w:r>
      <w:r>
        <w:rPr>
          <w:color w:val="000000"/>
        </w:rPr>
        <w:t>2</w:t>
      </w:r>
      <w:r>
        <w:rPr>
          <w:color w:val="000000"/>
        </w:rPr>
        <w:t>). Предварительный расчет показал (</w:t>
      </w:r>
      <w:r>
        <w:rPr>
          <w:color w:val="000000"/>
        </w:rPr>
        <w:t>таблица</w:t>
      </w:r>
      <w:r>
        <w:rPr>
          <w:color w:val="000000"/>
        </w:rPr>
        <w:t xml:space="preserve"> </w:t>
      </w:r>
      <w:r>
        <w:rPr>
          <w:color w:val="000000"/>
        </w:rPr>
        <w:t>2</w:t>
      </w:r>
      <w:r>
        <w:rPr>
          <w:color w:val="000000"/>
        </w:rPr>
        <w:t>S.</w:t>
      </w:r>
      <w:r>
        <w:rPr>
          <w:color w:val="000000"/>
        </w:rPr>
        <w:t>1 в приложении 2</w:t>
      </w:r>
      <w:r>
        <w:rPr>
          <w:color w:val="000000"/>
        </w:rPr>
        <w:t xml:space="preserve">), что для арендиазониевых катионов в большинстве случаев выгодно синглетное состояние. За исключением 4-метоксифенил катиона </w:t>
      </w:r>
      <w:r>
        <w:rPr>
          <w:color w:val="000000"/>
          <w:highlight w:val="yellow"/>
        </w:rPr>
        <w:t>(9)</w:t>
      </w:r>
      <w:r>
        <w:rPr>
          <w:color w:val="000000"/>
        </w:rPr>
        <w:t xml:space="preserve">, синглет-триплетный переход которого сопровождается уменьшением энергии. В случае 4-бромфенил </w:t>
      </w:r>
      <w:r>
        <w:rPr>
          <w:color w:val="000000"/>
          <w:highlight w:val="yellow"/>
        </w:rPr>
        <w:t>(15)</w:t>
      </w:r>
      <w:r>
        <w:rPr>
          <w:color w:val="000000"/>
        </w:rPr>
        <w:t xml:space="preserve"> и 2-карбокси-4-бромфенильного </w:t>
      </w:r>
      <w:r>
        <w:rPr>
          <w:color w:val="000000"/>
          <w:highlight w:val="yellow"/>
        </w:rPr>
        <w:t>(17)</w:t>
      </w:r>
      <w:r>
        <w:rPr>
          <w:color w:val="000000"/>
        </w:rPr>
        <w:t xml:space="preserve"> катионов энергия Гиббса синглет-триплетного</w:t>
      </w:r>
      <w:r>
        <w:rPr>
          <w:color w:val="000000"/>
          <w:highlight w:val="yellow"/>
        </w:rPr>
        <w:t xml:space="preserve"> перехода </w:t>
      </w:r>
      <w:r>
        <w:rPr>
          <w:color w:val="000000"/>
        </w:rPr>
        <w:t>имеет значение менее 25 кДж/моль и эти два состояния могут находится в равновесии, что необходимо учитывать при анализе термодинамики. По результатам расчетов, во всех случаях, кроме 2-нитрофенилдиазония процесс отщепления азота требует энергетических затрат. Величины энергии Гиббса имеют значения от 82 до 116 кДж/моль, что</w:t>
      </w:r>
      <w:r>
        <w:rPr>
          <w:color w:val="000000"/>
          <w:highlight w:val="yellow"/>
        </w:rPr>
        <w:t xml:space="preserve"> </w:t>
      </w:r>
      <w:r>
        <w:rPr>
          <w:highlight w:val="yellow"/>
        </w:rPr>
        <w:t>согласуется с оценочной величиной полученной в эксперименте  по фрагментации диазониевых катионов (раздел 3.2)</w:t>
      </w:r>
      <w:r>
        <w:rPr>
          <w:color w:val="000000"/>
          <w:highlight w:val="yellow"/>
        </w:rPr>
        <w:t>.</w:t>
      </w:r>
    </w:p>
    <w:p>
      <w:pPr>
        <w:pStyle w:val="Style24"/>
        <w:numPr>
          <w:ilvl w:val="2"/>
          <w:numId w:val="2"/>
        </w:numPr>
        <w:spacing w:lineRule="auto" w:line="312" w:before="0" w:after="0"/>
        <w:ind w:left="0" w:right="0" w:firstLine="567"/>
        <w:rPr/>
      </w:pPr>
      <w:r>
        <w:rPr>
          <w:color w:val="000000"/>
        </w:rPr>
        <w:t xml:space="preserve">Прочность диазониевых катионов определяется природой и положением заместителя. Количество продуктов распада для 2-нитрофенилдиазония значительно меньше, чем для 3- и 4-нитрофенилдиазония при одной и той же энергии соударения </w:t>
      </w:r>
      <w:r>
        <w:rPr>
          <w:color w:val="000000"/>
        </w:rPr>
        <w:t>(Таблица 3.)</w:t>
      </w:r>
      <w:r>
        <w:rPr>
          <w:color w:val="000000"/>
        </w:rPr>
        <w:t>.</w:t>
      </w:r>
    </w:p>
    <w:p>
      <w:pPr>
        <w:pStyle w:val="Style24"/>
        <w:numPr>
          <w:ilvl w:val="2"/>
          <w:numId w:val="2"/>
        </w:numPr>
        <w:spacing w:lineRule="auto" w:line="312" w:before="0" w:after="0"/>
        <w:ind w:left="0" w:right="0" w:firstLine="567"/>
        <w:rPr>
          <w:color w:val="000000"/>
        </w:rPr>
      </w:pPr>
      <w:r>
        <w:rPr>
          <w:color w:val="000000"/>
        </w:rPr>
        <w:t>Особым случаем является 2-нитрофенилдиазоний, для которого в синглетном состоянии наблюдается процесс перегруппировки, который мы более подробнее исследовали квантовохимическими методами в разделе 3.4.</w:t>
      </w:r>
    </w:p>
    <w:p>
      <w:pPr>
        <w:pStyle w:val="13"/>
        <w:numPr>
          <w:ilvl w:val="2"/>
          <w:numId w:val="2"/>
        </w:numPr>
        <w:ind w:left="567" w:right="0" w:hanging="0"/>
        <w:rPr>
          <w:color w:val="000000"/>
        </w:rPr>
      </w:pPr>
      <w:r>
        <w:rPr>
          <w:color w:val="000000"/>
        </w:rPr>
        <w:t>3.</w:t>
      </w:r>
      <w:r>
        <w:rPr>
          <w:color w:val="000000"/>
        </w:rPr>
        <w:t>3</w:t>
      </w:r>
      <w:r>
        <w:rPr>
          <w:color w:val="000000"/>
        </w:rPr>
        <w:t>. Фрагментация кластерных катионов</w:t>
      </w:r>
    </w:p>
    <w:p>
      <w:pPr>
        <w:pStyle w:val="Normal"/>
        <w:rPr/>
      </w:pPr>
      <w:r>
        <w:rPr/>
        <w:t xml:space="preserve">Для оценки влияния противо-иона на стабильность диазониевых катионов, мы провели эксперимент по фрагментации кластерных частиц, содержащих </w:t>
      </w:r>
      <w:r>
        <w:rPr>
          <w:highlight w:val="yellow"/>
        </w:rPr>
        <w:t xml:space="preserve">два диазониевых катиона </w:t>
      </w:r>
      <w:r>
        <w:rPr/>
        <w:t>и анион (тозилат, трифлат и тетрафторборат). Результаты эксперимента представлены в таблице 5.</w:t>
      </w:r>
    </w:p>
    <w:p>
      <w:pPr>
        <w:pStyle w:val="Normal"/>
        <w:jc w:val="right"/>
        <w:rPr/>
      </w:pPr>
      <w:r>
        <w:rPr/>
        <w:t xml:space="preserve">Таблица 5. </w:t>
      </w:r>
    </w:p>
    <w:p>
      <w:pPr>
        <w:pStyle w:val="Normal"/>
        <w:jc w:val="center"/>
        <w:rPr/>
      </w:pPr>
      <w:r>
        <w:rPr/>
        <w:t>Спектр MS2 кластерных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364"/>
        <w:gridCol w:w="681"/>
        <w:gridCol w:w="1882"/>
        <w:gridCol w:w="1009"/>
        <w:gridCol w:w="1023"/>
        <w:gridCol w:w="1009"/>
        <w:gridCol w:w="1023"/>
        <w:gridCol w:w="791"/>
        <w:gridCol w:w="856"/>
      </w:tblGrid>
      <w:tr>
        <w:trPr>
          <w:tblHeader w:val="true"/>
          <w:cantSplit w:val="true"/>
        </w:trPr>
        <w:tc>
          <w:tcPr>
            <w:tcW w:w="1364"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0"/>
                <w:szCs w:val="20"/>
              </w:rPr>
            </w:pPr>
            <w:r>
              <w:rPr>
                <w:sz w:val="20"/>
                <w:szCs w:val="20"/>
              </w:rPr>
              <w:t>Соединение</w:t>
            </w:r>
          </w:p>
        </w:tc>
        <w:tc>
          <w:tcPr>
            <w:tcW w:w="681"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0"/>
                <w:szCs w:val="20"/>
              </w:rPr>
            </w:pPr>
            <w:r>
              <w:rPr>
                <w:sz w:val="20"/>
                <w:szCs w:val="20"/>
              </w:rPr>
              <w:t>Прекурсор</w:t>
            </w:r>
          </w:p>
        </w:tc>
        <w:tc>
          <w:tcPr>
            <w:tcW w:w="7593"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9"/>
              <w:ind w:left="0" w:right="0" w:hanging="0"/>
              <w:rPr>
                <w:sz w:val="20"/>
                <w:szCs w:val="20"/>
              </w:rPr>
            </w:pPr>
            <w:r>
              <w:rPr>
                <w:sz w:val="20"/>
                <w:szCs w:val="20"/>
              </w:rPr>
              <w:t>M/Z, (Int. %)</w:t>
            </w:r>
          </w:p>
        </w:tc>
      </w:tr>
      <w:tr>
        <w:trPr>
          <w:tblHeader w:val="true"/>
          <w:cantSplit w:val="true"/>
        </w:trPr>
        <w:tc>
          <w:tcPr>
            <w:tcW w:w="1364"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681"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 eV</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0.01 eV</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0.1 eV</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1 eV</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10 eV</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20 eV</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40 eV</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2-NO2-Ph-N2+</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1b</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p>
            <w:pPr>
              <w:pStyle w:val="Style28"/>
              <w:ind w:left="0" w:right="0" w:hanging="0"/>
              <w:rPr>
                <w:sz w:val="18"/>
                <w:szCs w:val="18"/>
              </w:rPr>
            </w:pPr>
            <w:r>
              <w:rPr>
                <w:sz w:val="18"/>
                <w:szCs w:val="18"/>
              </w:rPr>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(80)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(84)</w:t>
            </w:r>
          </w:p>
          <w:p>
            <w:pPr>
              <w:pStyle w:val="Style28"/>
              <w:ind w:left="0" w:right="0" w:hanging="0"/>
              <w:rPr>
                <w:sz w:val="18"/>
                <w:szCs w:val="18"/>
              </w:rPr>
            </w:pPr>
            <w:r>
              <w:rPr>
                <w:sz w:val="18"/>
                <w:szCs w:val="18"/>
              </w:rPr>
              <w:t>150.03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(82)</w:t>
            </w:r>
          </w:p>
          <w:p>
            <w:pPr>
              <w:pStyle w:val="Style28"/>
              <w:ind w:left="0" w:right="0" w:hanging="0"/>
              <w:rPr>
                <w:sz w:val="18"/>
                <w:szCs w:val="18"/>
              </w:rPr>
            </w:pPr>
            <w:r>
              <w:rPr>
                <w:sz w:val="18"/>
                <w:szCs w:val="18"/>
              </w:rPr>
              <w:t>150.03 (100)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(57)</w:t>
            </w:r>
          </w:p>
          <w:p>
            <w:pPr>
              <w:pStyle w:val="Style28"/>
              <w:ind w:left="0" w:right="0" w:hanging="0"/>
              <w:rPr>
                <w:sz w:val="18"/>
                <w:szCs w:val="18"/>
              </w:rPr>
            </w:pPr>
            <w:r>
              <w:rPr>
                <w:sz w:val="18"/>
                <w:szCs w:val="18"/>
              </w:rPr>
              <w:t>150.03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(7)</w:t>
            </w:r>
          </w:p>
          <w:p>
            <w:pPr>
              <w:pStyle w:val="Style28"/>
              <w:ind w:left="0" w:right="0" w:hanging="0"/>
              <w:rPr>
                <w:sz w:val="18"/>
                <w:szCs w:val="18"/>
              </w:rPr>
            </w:pPr>
            <w:r>
              <w:rPr>
                <w:sz w:val="18"/>
                <w:szCs w:val="18"/>
              </w:rPr>
              <w:t>92.03 (9)</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(44)</w:t>
            </w:r>
          </w:p>
          <w:p>
            <w:pPr>
              <w:pStyle w:val="Style28"/>
              <w:ind w:left="0" w:right="0" w:hanging="0"/>
              <w:rPr>
                <w:sz w:val="18"/>
                <w:szCs w:val="18"/>
              </w:rPr>
            </w:pPr>
            <w:r>
              <w:rPr>
                <w:sz w:val="18"/>
                <w:szCs w:val="18"/>
              </w:rPr>
              <w:t>92.03 (35)</w:t>
            </w:r>
          </w:p>
          <w:p>
            <w:pPr>
              <w:pStyle w:val="Style28"/>
              <w:ind w:left="0" w:right="0" w:hanging="0"/>
              <w:rPr>
                <w:sz w:val="18"/>
                <w:szCs w:val="18"/>
              </w:rPr>
            </w:pPr>
            <w:r>
              <w:rPr>
                <w:sz w:val="18"/>
                <w:szCs w:val="18"/>
              </w:rPr>
              <w:t>78.03 (17)</w:t>
            </w:r>
          </w:p>
          <w:p>
            <w:pPr>
              <w:pStyle w:val="Style28"/>
              <w:ind w:left="0" w:right="0" w:hanging="0"/>
              <w:rPr>
                <w:sz w:val="18"/>
                <w:szCs w:val="18"/>
              </w:rPr>
            </w:pPr>
            <w:r>
              <w:rPr>
                <w:sz w:val="18"/>
                <w:szCs w:val="18"/>
              </w:rPr>
              <w:t>51.03 (34)</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(4)</w:t>
            </w:r>
          </w:p>
          <w:p>
            <w:pPr>
              <w:pStyle w:val="Style28"/>
              <w:ind w:left="0" w:right="0" w:hanging="0"/>
              <w:rPr>
                <w:sz w:val="18"/>
                <w:szCs w:val="18"/>
              </w:rPr>
            </w:pPr>
            <w:r>
              <w:rPr>
                <w:sz w:val="18"/>
                <w:szCs w:val="18"/>
              </w:rPr>
              <w:t>94.03 (59)</w:t>
            </w:r>
          </w:p>
          <w:p>
            <w:pPr>
              <w:pStyle w:val="Style28"/>
              <w:ind w:left="0" w:right="0" w:hanging="0"/>
              <w:rPr>
                <w:sz w:val="18"/>
                <w:szCs w:val="18"/>
              </w:rPr>
            </w:pPr>
            <w:r>
              <w:rPr>
                <w:sz w:val="18"/>
                <w:szCs w:val="18"/>
              </w:rPr>
              <w:t>92.03 (85)</w:t>
            </w:r>
          </w:p>
          <w:p>
            <w:pPr>
              <w:pStyle w:val="Style28"/>
              <w:ind w:left="0" w:right="0" w:hanging="0"/>
              <w:rPr>
                <w:sz w:val="18"/>
                <w:szCs w:val="18"/>
              </w:rPr>
            </w:pPr>
            <w:r>
              <w:rPr>
                <w:sz w:val="18"/>
                <w:szCs w:val="18"/>
              </w:rPr>
              <w:t>74.09 (15)</w:t>
            </w:r>
          </w:p>
          <w:p>
            <w:pPr>
              <w:pStyle w:val="Style28"/>
              <w:ind w:left="0" w:right="0" w:hanging="0"/>
              <w:rPr>
                <w:sz w:val="18"/>
                <w:szCs w:val="18"/>
              </w:rPr>
            </w:pPr>
            <w:r>
              <w:rPr>
                <w:sz w:val="18"/>
                <w:szCs w:val="18"/>
              </w:rPr>
              <w:t>64.03 (16)</w:t>
            </w:r>
          </w:p>
          <w:p>
            <w:pPr>
              <w:pStyle w:val="Style28"/>
              <w:ind w:left="0" w:right="0" w:hanging="0"/>
              <w:rPr>
                <w:sz w:val="18"/>
                <w:szCs w:val="18"/>
              </w:rPr>
            </w:pPr>
            <w:r>
              <w:rPr>
                <w:sz w:val="18"/>
                <w:szCs w:val="18"/>
              </w:rPr>
              <w:t>53.00 (44)</w:t>
            </w:r>
          </w:p>
          <w:p>
            <w:pPr>
              <w:pStyle w:val="Style28"/>
              <w:ind w:left="0" w:right="0" w:hanging="0"/>
              <w:rPr>
                <w:sz w:val="18"/>
                <w:szCs w:val="18"/>
              </w:rPr>
            </w:pPr>
            <w:r>
              <w:rPr>
                <w:sz w:val="18"/>
                <w:szCs w:val="18"/>
              </w:rPr>
              <w:t>51.03 (100)</w:t>
            </w:r>
          </w:p>
          <w:p>
            <w:pPr>
              <w:pStyle w:val="Style28"/>
              <w:ind w:left="0" w:right="0" w:hanging="0"/>
              <w:rPr>
                <w:sz w:val="18"/>
                <w:szCs w:val="18"/>
              </w:rPr>
            </w:pPr>
            <w:r>
              <w:rPr>
                <w:sz w:val="18"/>
                <w:szCs w:val="18"/>
              </w:rPr>
              <w:t>39.02 (35)</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3-NO2-Ph-N2+</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1c</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(68)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(56)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(64)</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(68)</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(57)</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(51)</w:t>
            </w:r>
          </w:p>
          <w:p>
            <w:pPr>
              <w:pStyle w:val="Style28"/>
              <w:ind w:left="0" w:right="0" w:hanging="0"/>
              <w:rPr>
                <w:sz w:val="18"/>
                <w:szCs w:val="18"/>
              </w:rPr>
            </w:pPr>
            <w:r>
              <w:rPr>
                <w:sz w:val="18"/>
                <w:szCs w:val="18"/>
              </w:rPr>
              <w:t>122.02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(7)</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92.03 (7)</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(78)</w:t>
            </w:r>
          </w:p>
          <w:p>
            <w:pPr>
              <w:pStyle w:val="Style28"/>
              <w:ind w:left="0" w:right="0" w:hanging="0"/>
              <w:rPr>
                <w:sz w:val="18"/>
                <w:szCs w:val="18"/>
              </w:rPr>
            </w:pPr>
            <w:r>
              <w:rPr>
                <w:sz w:val="18"/>
                <w:szCs w:val="18"/>
              </w:rPr>
              <w:t>92.03 (80)</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(11)</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1d</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(49)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(48)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(29)</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(52)</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(48)</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74.10 (16)</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(6)</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74.10 (18)</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(91)</w:t>
            </w:r>
          </w:p>
          <w:p>
            <w:pPr>
              <w:pStyle w:val="Style28"/>
              <w:ind w:left="0" w:right="0" w:hanging="0"/>
              <w:rPr>
                <w:sz w:val="18"/>
                <w:szCs w:val="18"/>
              </w:rPr>
            </w:pPr>
            <w:r>
              <w:rPr>
                <w:sz w:val="18"/>
                <w:szCs w:val="18"/>
              </w:rPr>
              <w:t>92.03 (89)</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74.10 (35)</w:t>
            </w:r>
          </w:p>
          <w:p>
            <w:pPr>
              <w:pStyle w:val="Style28"/>
              <w:ind w:left="0" w:right="0" w:hanging="0"/>
              <w:rPr>
                <w:sz w:val="18"/>
                <w:szCs w:val="18"/>
              </w:rPr>
            </w:pPr>
            <w:r>
              <w:rPr>
                <w:sz w:val="18"/>
                <w:szCs w:val="18"/>
              </w:rPr>
              <w:t>64.03 (12)</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4-CH</w:t>
            </w:r>
            <w:r>
              <w:rPr>
                <w:sz w:val="18"/>
                <w:szCs w:val="18"/>
                <w:vertAlign w:val="subscript"/>
                <w:lang w:val="en-US"/>
              </w:rPr>
              <w:t>3</w:t>
            </w:r>
            <w:r>
              <w:rPr>
                <w:sz w:val="18"/>
                <w:szCs w:val="18"/>
                <w:lang w:val="en-US"/>
              </w:rPr>
              <w:t>O-Ph-N</w:t>
            </w:r>
            <w:r>
              <w:rPr>
                <w:sz w:val="18"/>
                <w:szCs w:val="18"/>
                <w:vertAlign w:val="subscript"/>
                <w:lang w:val="en-US"/>
              </w:rPr>
              <w:t>2</w:t>
            </w:r>
            <w:r>
              <w:rPr>
                <w:sz w:val="18"/>
                <w:szCs w:val="18"/>
                <w:vertAlign w:val="superscript"/>
                <w:lang w:val="en-US"/>
              </w:rPr>
              <w:t>+</w:t>
            </w:r>
          </w:p>
          <w:p>
            <w:pPr>
              <w:pStyle w:val="Style28"/>
              <w:ind w:left="0" w:right="0" w:hanging="0"/>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1e</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419.06 (65)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135.05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107.05 (38)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(64)</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(37)</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(61)</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(42)</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(37)</w:t>
            </w:r>
          </w:p>
          <w:p>
            <w:pPr>
              <w:pStyle w:val="Style28"/>
              <w:ind w:left="0" w:right="0" w:hanging="0"/>
              <w:rPr>
                <w:sz w:val="18"/>
                <w:szCs w:val="18"/>
              </w:rPr>
            </w:pPr>
            <w:r>
              <w:rPr>
                <w:sz w:val="18"/>
                <w:szCs w:val="18"/>
              </w:rPr>
              <w:t>417.25 (15)</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(34)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(0)</w:t>
            </w:r>
          </w:p>
          <w:p>
            <w:pPr>
              <w:pStyle w:val="Style28"/>
              <w:ind w:left="0" w:right="0" w:hanging="0"/>
              <w:rPr>
                <w:sz w:val="18"/>
                <w:szCs w:val="18"/>
              </w:rPr>
            </w:pPr>
            <w:r>
              <w:rPr>
                <w:sz w:val="18"/>
                <w:szCs w:val="18"/>
              </w:rPr>
              <w:t>135.05 (60)</w:t>
            </w:r>
          </w:p>
          <w:p>
            <w:pPr>
              <w:pStyle w:val="Style28"/>
              <w:ind w:left="0" w:right="0" w:hanging="0"/>
              <w:rPr>
                <w:sz w:val="18"/>
                <w:szCs w:val="18"/>
              </w:rPr>
            </w:pPr>
            <w:r>
              <w:rPr>
                <w:sz w:val="18"/>
                <w:szCs w:val="18"/>
              </w:rPr>
              <w:t>107.05 (100)</w:t>
            </w:r>
          </w:p>
          <w:p>
            <w:pPr>
              <w:pStyle w:val="Style28"/>
              <w:ind w:left="0" w:right="0" w:hanging="0"/>
              <w:rPr>
                <w:sz w:val="18"/>
                <w:szCs w:val="18"/>
              </w:rPr>
            </w:pPr>
            <w:r>
              <w:rPr>
                <w:sz w:val="18"/>
                <w:szCs w:val="18"/>
              </w:rPr>
              <w:t>77.04 (7)</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135.05 (11)</w:t>
            </w:r>
          </w:p>
          <w:p>
            <w:pPr>
              <w:pStyle w:val="Style28"/>
              <w:ind w:left="0" w:right="0" w:hanging="0"/>
              <w:rPr>
                <w:sz w:val="18"/>
                <w:szCs w:val="18"/>
              </w:rPr>
            </w:pPr>
            <w:r>
              <w:rPr>
                <w:sz w:val="18"/>
                <w:szCs w:val="18"/>
              </w:rPr>
              <w:t>107.05 (100)</w:t>
            </w:r>
          </w:p>
          <w:p>
            <w:pPr>
              <w:pStyle w:val="Style28"/>
              <w:ind w:left="0" w:right="0" w:hanging="0"/>
              <w:rPr>
                <w:sz w:val="18"/>
                <w:szCs w:val="18"/>
              </w:rPr>
            </w:pPr>
            <w:r>
              <w:rPr>
                <w:sz w:val="18"/>
                <w:szCs w:val="18"/>
              </w:rPr>
              <w:t>77.04 (13)</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135.05 (0)</w:t>
            </w:r>
          </w:p>
          <w:p>
            <w:pPr>
              <w:pStyle w:val="Style28"/>
              <w:ind w:left="0" w:right="0" w:hanging="0"/>
              <w:rPr>
                <w:sz w:val="18"/>
                <w:szCs w:val="18"/>
              </w:rPr>
            </w:pPr>
            <w:r>
              <w:rPr>
                <w:sz w:val="18"/>
                <w:szCs w:val="18"/>
              </w:rPr>
              <w:t>107.05 (62)</w:t>
            </w:r>
          </w:p>
          <w:p>
            <w:pPr>
              <w:pStyle w:val="Style28"/>
              <w:ind w:left="0" w:right="0" w:hanging="0"/>
              <w:rPr>
                <w:sz w:val="18"/>
                <w:szCs w:val="18"/>
              </w:rPr>
            </w:pPr>
            <w:r>
              <w:rPr>
                <w:sz w:val="18"/>
                <w:szCs w:val="18"/>
              </w:rPr>
              <w:t>92.03 (37)</w:t>
            </w:r>
          </w:p>
          <w:p>
            <w:pPr>
              <w:pStyle w:val="Style28"/>
              <w:ind w:left="0" w:right="0" w:hanging="0"/>
              <w:rPr>
                <w:sz w:val="18"/>
                <w:szCs w:val="18"/>
              </w:rPr>
            </w:pPr>
            <w:r>
              <w:rPr>
                <w:sz w:val="18"/>
                <w:szCs w:val="18"/>
              </w:rPr>
              <w:t>77.04 (100)</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TsO</w:t>
            </w:r>
            <w:r>
              <w:rPr>
                <w:sz w:val="18"/>
                <w:szCs w:val="18"/>
                <w:vertAlign w:val="superscript"/>
              </w:rPr>
              <w:t>-</w:t>
            </w:r>
            <w:r>
              <w:rPr>
                <w:sz w:val="18"/>
                <w:szCs w:val="18"/>
              </w:rPr>
              <w:t xml:space="preserve"> (</w:t>
            </w:r>
            <w:r>
              <w:rPr>
                <w:b/>
                <w:bCs/>
                <w:sz w:val="18"/>
                <w:szCs w:val="18"/>
              </w:rPr>
              <w:t>2</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471.07 (33)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w:t>
            </w:r>
            <w:r>
              <w:rPr>
                <w:b/>
                <w:bCs/>
                <w:i w:val="false"/>
                <w:iCs w:val="false"/>
                <w:position w:val="0"/>
                <w:sz w:val="18"/>
                <w:sz w:val="18"/>
                <w:szCs w:val="18"/>
                <w:vertAlign w:val="baseline"/>
              </w:rPr>
              <w:t>s</w:t>
            </w:r>
            <w:r>
              <w:rPr>
                <w:b/>
                <w:bCs/>
                <w:i w:val="false"/>
                <w:iCs w:val="false"/>
                <w:position w:val="0"/>
                <w:sz w:val="18"/>
                <w:sz w:val="18"/>
                <w:szCs w:val="18"/>
                <w:vertAlign w:val="baseline"/>
              </w:rPr>
              <w:t>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122.03 (46)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(33)</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(32)</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(46)</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(17)</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(0)</w:t>
            </w:r>
          </w:p>
          <w:p>
            <w:pPr>
              <w:pStyle w:val="Style28"/>
              <w:ind w:left="0" w:right="0" w:hanging="0"/>
              <w:rPr>
                <w:sz w:val="18"/>
                <w:szCs w:val="18"/>
              </w:rPr>
            </w:pPr>
            <w:r>
              <w:rPr>
                <w:sz w:val="18"/>
                <w:szCs w:val="18"/>
              </w:rPr>
              <w:t>150.03 (66)</w:t>
            </w:r>
          </w:p>
          <w:p>
            <w:pPr>
              <w:pStyle w:val="Style28"/>
              <w:ind w:left="0" w:right="0" w:hanging="0"/>
              <w:rPr>
                <w:sz w:val="18"/>
                <w:szCs w:val="18"/>
              </w:rPr>
            </w:pPr>
            <w:r>
              <w:rPr>
                <w:sz w:val="18"/>
                <w:szCs w:val="18"/>
              </w:rPr>
              <w:t>122.03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w:t>
            </w:r>
          </w:p>
          <w:p>
            <w:pPr>
              <w:pStyle w:val="Style28"/>
              <w:ind w:left="0" w:right="0" w:hanging="0"/>
              <w:rPr>
                <w:sz w:val="18"/>
                <w:szCs w:val="18"/>
              </w:rPr>
            </w:pPr>
            <w:r>
              <w:rPr>
                <w:sz w:val="18"/>
                <w:szCs w:val="18"/>
              </w:rPr>
              <w:t>122.03 (100)</w:t>
            </w:r>
          </w:p>
          <w:p>
            <w:pPr>
              <w:pStyle w:val="Style28"/>
              <w:ind w:left="0" w:right="0" w:hanging="0"/>
              <w:rPr>
                <w:sz w:val="18"/>
                <w:szCs w:val="18"/>
              </w:rPr>
            </w:pPr>
            <w:r>
              <w:rPr>
                <w:sz w:val="18"/>
                <w:szCs w:val="18"/>
              </w:rPr>
              <w:t>92.03 (10)</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122.03 (100)</w:t>
            </w:r>
          </w:p>
          <w:p>
            <w:pPr>
              <w:pStyle w:val="Style28"/>
              <w:ind w:left="0" w:right="0" w:hanging="0"/>
              <w:rPr>
                <w:sz w:val="18"/>
                <w:szCs w:val="18"/>
              </w:rPr>
            </w:pPr>
            <w:r>
              <w:rPr>
                <w:sz w:val="18"/>
                <w:szCs w:val="18"/>
              </w:rPr>
              <w:t>92.03 (38)</w:t>
            </w:r>
          </w:p>
          <w:p>
            <w:pPr>
              <w:pStyle w:val="Style28"/>
              <w:ind w:left="0" w:right="0" w:hanging="0"/>
              <w:rPr>
                <w:sz w:val="18"/>
                <w:szCs w:val="18"/>
              </w:rPr>
            </w:pPr>
            <w:r>
              <w:rPr>
                <w:sz w:val="18"/>
                <w:szCs w:val="18"/>
              </w:rPr>
              <w:t>75.03 (56)</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BF</w:t>
            </w:r>
            <w:r>
              <w:rPr>
                <w:sz w:val="18"/>
                <w:szCs w:val="18"/>
                <w:vertAlign w:val="subscript"/>
              </w:rPr>
              <w:t>4</w:t>
            </w:r>
            <w:r>
              <w:rPr>
                <w:sz w:val="18"/>
                <w:szCs w:val="18"/>
                <w:vertAlign w:val="superscript"/>
              </w:rPr>
              <w:t>-</w:t>
            </w:r>
            <w:r>
              <w:rPr>
                <w:sz w:val="18"/>
                <w:szCs w:val="18"/>
              </w:rPr>
              <w:t xml:space="preserve"> (</w:t>
            </w:r>
            <w:r>
              <w:rPr>
                <w:b/>
                <w:bCs/>
                <w:sz w:val="18"/>
                <w:szCs w:val="18"/>
              </w:rPr>
              <w:t>3</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387.07 (53)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BF</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(46)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(56)</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(51)</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(17)</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(0)</w:t>
            </w:r>
          </w:p>
          <w:p>
            <w:pPr>
              <w:pStyle w:val="Style28"/>
              <w:ind w:left="0" w:right="0" w:hanging="0"/>
              <w:rPr>
                <w:sz w:val="18"/>
                <w:szCs w:val="18"/>
              </w:rPr>
            </w:pPr>
            <w:r>
              <w:rPr>
                <w:sz w:val="18"/>
                <w:szCs w:val="18"/>
              </w:rPr>
              <w:t>150.03 (26)</w:t>
            </w:r>
          </w:p>
          <w:p>
            <w:pPr>
              <w:pStyle w:val="Style28"/>
              <w:ind w:left="0" w:right="0" w:hanging="0"/>
              <w:rPr>
                <w:sz w:val="18"/>
                <w:szCs w:val="18"/>
              </w:rPr>
            </w:pPr>
            <w:r>
              <w:rPr>
                <w:sz w:val="18"/>
                <w:szCs w:val="18"/>
              </w:rPr>
              <w:t>122.02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92.02 (9)</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122.02 (49)</w:t>
            </w:r>
          </w:p>
          <w:p>
            <w:pPr>
              <w:pStyle w:val="Style28"/>
              <w:ind w:left="0" w:right="0" w:hanging="0"/>
              <w:rPr>
                <w:sz w:val="18"/>
                <w:szCs w:val="18"/>
              </w:rPr>
            </w:pPr>
            <w:r>
              <w:rPr>
                <w:sz w:val="18"/>
                <w:szCs w:val="18"/>
              </w:rPr>
              <w:t>92.03 (72)</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(17)</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2-HOOC-Ph-N</w:t>
            </w:r>
            <w:r>
              <w:rPr>
                <w:sz w:val="18"/>
                <w:szCs w:val="18"/>
                <w:vertAlign w:val="subscript"/>
                <w:lang w:val="en-US"/>
              </w:rPr>
              <w:t>2</w:t>
            </w:r>
            <w:r>
              <w:rPr>
                <w:sz w:val="18"/>
                <w:szCs w:val="18"/>
                <w:vertAlign w:val="superscript"/>
                <w:lang w:val="en-US"/>
              </w:rPr>
              <w:t>+</w:t>
            </w:r>
          </w:p>
          <w:p>
            <w:pPr>
              <w:pStyle w:val="Style28"/>
              <w:ind w:left="0" w:right="0" w:hanging="0"/>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1f</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1h</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514.86</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518.86 (32)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516.86 (23)</w:t>
            </w:r>
          </w:p>
          <w:p>
            <w:pPr>
              <w:pStyle w:val="Style28"/>
              <w:ind w:left="0" w:right="0" w:hanging="0"/>
              <w:rPr>
                <w:sz w:val="18"/>
                <w:szCs w:val="18"/>
              </w:rPr>
            </w:pPr>
            <w:r>
              <w:rPr>
                <w:sz w:val="18"/>
                <w:szCs w:val="18"/>
              </w:rPr>
              <w:t>514.86 (0)</w:t>
            </w:r>
          </w:p>
          <w:p>
            <w:pPr>
              <w:pStyle w:val="Style28"/>
              <w:ind w:left="0" w:right="0" w:hanging="0"/>
              <w:rPr>
                <w:sz w:val="18"/>
                <w:szCs w:val="18"/>
              </w:rPr>
            </w:pPr>
            <w:r>
              <w:rPr>
                <w:sz w:val="18"/>
                <w:szCs w:val="18"/>
              </w:rPr>
              <w:t>184.96 (97)</w:t>
            </w:r>
          </w:p>
          <w:p>
            <w:pPr>
              <w:pStyle w:val="Style28"/>
              <w:ind w:left="0" w:right="0" w:hanging="0"/>
              <w:rPr>
                <w:sz w:val="18"/>
                <w:szCs w:val="18"/>
              </w:rPr>
            </w:pPr>
            <w:r>
              <w:rPr>
                <w:sz w:val="18"/>
                <w:szCs w:val="18"/>
              </w:rPr>
              <w:t xml:space="preserve">182.96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156.95 (80)</w:t>
            </w:r>
          </w:p>
          <w:p>
            <w:pPr>
              <w:pStyle w:val="Style28"/>
              <w:ind w:left="0" w:right="0" w:hanging="0"/>
              <w:rPr>
                <w:sz w:val="18"/>
                <w:szCs w:val="18"/>
              </w:rPr>
            </w:pPr>
            <w:r>
              <w:rPr>
                <w:sz w:val="18"/>
                <w:szCs w:val="18"/>
              </w:rPr>
              <w:t xml:space="preserve">154.95 (51)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(20)</w:t>
            </w:r>
          </w:p>
          <w:p>
            <w:pPr>
              <w:pStyle w:val="Style28"/>
              <w:ind w:left="0" w:right="0" w:hanging="0"/>
              <w:rPr>
                <w:sz w:val="18"/>
                <w:szCs w:val="18"/>
              </w:rPr>
            </w:pPr>
            <w:r>
              <w:rPr>
                <w:sz w:val="18"/>
                <w:szCs w:val="18"/>
              </w:rPr>
              <w:t>516.86 (14)</w:t>
            </w:r>
          </w:p>
          <w:p>
            <w:pPr>
              <w:pStyle w:val="Style28"/>
              <w:ind w:left="0" w:right="0" w:hanging="0"/>
              <w:rPr>
                <w:sz w:val="18"/>
                <w:szCs w:val="18"/>
              </w:rPr>
            </w:pPr>
            <w:r>
              <w:rPr>
                <w:sz w:val="18"/>
                <w:szCs w:val="18"/>
              </w:rPr>
              <w:t>514.86 (41)</w:t>
            </w:r>
          </w:p>
          <w:p>
            <w:pPr>
              <w:pStyle w:val="Style28"/>
              <w:ind w:left="0" w:right="0" w:hanging="0"/>
              <w:rPr>
                <w:sz w:val="18"/>
                <w:szCs w:val="18"/>
              </w:rPr>
            </w:pPr>
            <w:r>
              <w:rPr>
                <w:sz w:val="18"/>
                <w:szCs w:val="18"/>
              </w:rPr>
              <w:t>184.96 (100)</w:t>
            </w:r>
          </w:p>
          <w:p>
            <w:pPr>
              <w:pStyle w:val="Style28"/>
              <w:ind w:left="0" w:right="0" w:hanging="0"/>
              <w:rPr>
                <w:sz w:val="18"/>
                <w:szCs w:val="18"/>
              </w:rPr>
            </w:pPr>
            <w:r>
              <w:rPr>
                <w:sz w:val="18"/>
                <w:szCs w:val="18"/>
              </w:rPr>
              <w:t>182.96 (91)</w:t>
            </w:r>
          </w:p>
          <w:p>
            <w:pPr>
              <w:pStyle w:val="Style28"/>
              <w:ind w:left="0" w:right="0" w:hanging="0"/>
              <w:rPr>
                <w:sz w:val="18"/>
                <w:szCs w:val="18"/>
              </w:rPr>
            </w:pPr>
            <w:r>
              <w:rPr>
                <w:sz w:val="18"/>
                <w:szCs w:val="18"/>
              </w:rPr>
              <w:t>156.95 (13)</w:t>
            </w:r>
          </w:p>
          <w:p>
            <w:pPr>
              <w:pStyle w:val="Style28"/>
              <w:ind w:left="0" w:right="0" w:hanging="0"/>
              <w:rPr>
                <w:sz w:val="18"/>
                <w:szCs w:val="18"/>
              </w:rPr>
            </w:pPr>
            <w:r>
              <w:rPr>
                <w:sz w:val="18"/>
                <w:szCs w:val="18"/>
              </w:rPr>
              <w:t>154.95 (38)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(20)</w:t>
            </w:r>
          </w:p>
          <w:p>
            <w:pPr>
              <w:pStyle w:val="Style28"/>
              <w:ind w:left="0" w:right="0" w:hanging="0"/>
              <w:rPr>
                <w:sz w:val="18"/>
                <w:szCs w:val="18"/>
              </w:rPr>
            </w:pPr>
            <w:r>
              <w:rPr>
                <w:sz w:val="18"/>
                <w:szCs w:val="18"/>
              </w:rPr>
              <w:t>516.86 (63)</w:t>
            </w:r>
          </w:p>
          <w:p>
            <w:pPr>
              <w:pStyle w:val="Style28"/>
              <w:ind w:left="0" w:right="0" w:hanging="0"/>
              <w:rPr>
                <w:sz w:val="18"/>
                <w:szCs w:val="18"/>
              </w:rPr>
            </w:pPr>
            <w:r>
              <w:rPr>
                <w:sz w:val="18"/>
                <w:szCs w:val="18"/>
              </w:rPr>
              <w:t>514.86 (39)</w:t>
            </w:r>
          </w:p>
          <w:p>
            <w:pPr>
              <w:pStyle w:val="Style28"/>
              <w:ind w:left="0" w:right="0" w:hanging="0"/>
              <w:rPr>
                <w:sz w:val="18"/>
                <w:szCs w:val="18"/>
              </w:rPr>
            </w:pPr>
            <w:r>
              <w:rPr>
                <w:sz w:val="18"/>
                <w:szCs w:val="18"/>
              </w:rPr>
              <w:t>184.96 (100)</w:t>
            </w:r>
          </w:p>
          <w:p>
            <w:pPr>
              <w:pStyle w:val="Style28"/>
              <w:ind w:left="0" w:right="0" w:hanging="0"/>
              <w:rPr>
                <w:sz w:val="18"/>
                <w:szCs w:val="18"/>
              </w:rPr>
            </w:pPr>
            <w:r>
              <w:rPr>
                <w:sz w:val="18"/>
                <w:szCs w:val="18"/>
              </w:rPr>
              <w:t>182.96 (92)</w:t>
            </w:r>
          </w:p>
          <w:p>
            <w:pPr>
              <w:pStyle w:val="Style28"/>
              <w:ind w:left="0" w:right="0" w:hanging="0"/>
              <w:rPr>
                <w:sz w:val="18"/>
                <w:szCs w:val="18"/>
              </w:rPr>
            </w:pPr>
            <w:r>
              <w:rPr>
                <w:sz w:val="18"/>
                <w:szCs w:val="18"/>
              </w:rPr>
              <w:t>156.95 (0)</w:t>
            </w:r>
          </w:p>
          <w:p>
            <w:pPr>
              <w:pStyle w:val="Style28"/>
              <w:ind w:left="0" w:right="0" w:hanging="0"/>
              <w:rPr>
                <w:sz w:val="18"/>
                <w:szCs w:val="18"/>
              </w:rPr>
            </w:pPr>
            <w:r>
              <w:rPr>
                <w:sz w:val="18"/>
                <w:szCs w:val="18"/>
              </w:rPr>
              <w:t>154.95 (10)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(32)</w:t>
            </w:r>
          </w:p>
          <w:p>
            <w:pPr>
              <w:pStyle w:val="Style28"/>
              <w:ind w:left="0" w:right="0" w:hanging="0"/>
              <w:rPr>
                <w:sz w:val="18"/>
                <w:szCs w:val="18"/>
              </w:rPr>
            </w:pPr>
            <w:r>
              <w:rPr>
                <w:sz w:val="18"/>
                <w:szCs w:val="18"/>
              </w:rPr>
              <w:t>516.86 (23)</w:t>
            </w:r>
          </w:p>
          <w:p>
            <w:pPr>
              <w:pStyle w:val="Style28"/>
              <w:ind w:left="0" w:right="0" w:hanging="0"/>
              <w:rPr>
                <w:sz w:val="18"/>
                <w:szCs w:val="18"/>
              </w:rPr>
            </w:pPr>
            <w:r>
              <w:rPr>
                <w:sz w:val="18"/>
                <w:szCs w:val="18"/>
              </w:rPr>
              <w:t>514.86 (16)</w:t>
            </w:r>
          </w:p>
          <w:p>
            <w:pPr>
              <w:pStyle w:val="Style28"/>
              <w:ind w:left="0" w:right="0" w:hanging="0"/>
              <w:rPr>
                <w:sz w:val="18"/>
                <w:szCs w:val="18"/>
              </w:rPr>
            </w:pPr>
            <w:r>
              <w:rPr>
                <w:sz w:val="18"/>
                <w:szCs w:val="18"/>
              </w:rPr>
              <w:t>184.96 (97)</w:t>
            </w:r>
          </w:p>
          <w:p>
            <w:pPr>
              <w:pStyle w:val="Style28"/>
              <w:ind w:left="0" w:right="0" w:hanging="0"/>
              <w:rPr>
                <w:sz w:val="18"/>
                <w:szCs w:val="18"/>
              </w:rPr>
            </w:pPr>
            <w:r>
              <w:rPr>
                <w:sz w:val="18"/>
                <w:szCs w:val="18"/>
              </w:rPr>
              <w:t>182.96 (100)</w:t>
            </w:r>
          </w:p>
          <w:p>
            <w:pPr>
              <w:pStyle w:val="Style28"/>
              <w:ind w:left="0" w:right="0" w:hanging="0"/>
              <w:rPr>
                <w:sz w:val="18"/>
                <w:szCs w:val="18"/>
              </w:rPr>
            </w:pPr>
            <w:r>
              <w:rPr>
                <w:sz w:val="18"/>
                <w:szCs w:val="18"/>
              </w:rPr>
              <w:t>156.95 (40)</w:t>
            </w:r>
          </w:p>
          <w:p>
            <w:pPr>
              <w:pStyle w:val="Style28"/>
              <w:ind w:left="0" w:right="0" w:hanging="0"/>
              <w:rPr>
                <w:sz w:val="18"/>
                <w:szCs w:val="18"/>
              </w:rPr>
            </w:pPr>
            <w:r>
              <w:rPr>
                <w:sz w:val="18"/>
                <w:szCs w:val="18"/>
              </w:rPr>
              <w:t>154.95 (31)</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(0)</w:t>
            </w:r>
          </w:p>
          <w:p>
            <w:pPr>
              <w:pStyle w:val="Style28"/>
              <w:ind w:left="0" w:right="0" w:hanging="0"/>
              <w:rPr>
                <w:sz w:val="18"/>
                <w:szCs w:val="18"/>
              </w:rPr>
            </w:pPr>
            <w:r>
              <w:rPr>
                <w:sz w:val="18"/>
                <w:szCs w:val="18"/>
              </w:rPr>
              <w:t>516.86 (0)</w:t>
            </w:r>
          </w:p>
          <w:p>
            <w:pPr>
              <w:pStyle w:val="Style28"/>
              <w:ind w:left="0" w:right="0" w:hanging="0"/>
              <w:rPr>
                <w:sz w:val="18"/>
                <w:szCs w:val="18"/>
              </w:rPr>
            </w:pPr>
            <w:r>
              <w:rPr>
                <w:sz w:val="18"/>
                <w:szCs w:val="18"/>
              </w:rPr>
              <w:t>514.86 (0)</w:t>
            </w:r>
          </w:p>
          <w:p>
            <w:pPr>
              <w:pStyle w:val="Style28"/>
              <w:ind w:left="0" w:right="0" w:hanging="0"/>
              <w:rPr>
                <w:sz w:val="18"/>
                <w:szCs w:val="18"/>
              </w:rPr>
            </w:pPr>
            <w:r>
              <w:rPr>
                <w:sz w:val="18"/>
                <w:szCs w:val="18"/>
              </w:rPr>
              <w:t>184.96 (55)</w:t>
            </w:r>
          </w:p>
          <w:p>
            <w:pPr>
              <w:pStyle w:val="Style28"/>
              <w:ind w:left="0" w:right="0" w:hanging="0"/>
              <w:rPr>
                <w:sz w:val="18"/>
                <w:szCs w:val="18"/>
              </w:rPr>
            </w:pPr>
            <w:r>
              <w:rPr>
                <w:sz w:val="18"/>
                <w:szCs w:val="18"/>
              </w:rPr>
              <w:t>182.96 (89)</w:t>
            </w:r>
          </w:p>
          <w:p>
            <w:pPr>
              <w:pStyle w:val="Style28"/>
              <w:ind w:left="0" w:right="0" w:hanging="0"/>
              <w:rPr>
                <w:sz w:val="18"/>
                <w:szCs w:val="18"/>
              </w:rPr>
            </w:pPr>
            <w:r>
              <w:rPr>
                <w:sz w:val="18"/>
                <w:szCs w:val="18"/>
              </w:rPr>
              <w:t>156.95 (96)</w:t>
            </w:r>
          </w:p>
          <w:p>
            <w:pPr>
              <w:pStyle w:val="Style28"/>
              <w:ind w:left="0" w:right="0" w:hanging="0"/>
              <w:rPr>
                <w:sz w:val="18"/>
                <w:szCs w:val="18"/>
              </w:rPr>
            </w:pPr>
            <w:r>
              <w:rPr>
                <w:sz w:val="18"/>
                <w:szCs w:val="18"/>
              </w:rPr>
              <w:t>154.95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184.96 (0)</w:t>
            </w:r>
          </w:p>
          <w:p>
            <w:pPr>
              <w:pStyle w:val="Style28"/>
              <w:ind w:left="0" w:right="0" w:hanging="0"/>
              <w:rPr>
                <w:sz w:val="18"/>
                <w:szCs w:val="18"/>
              </w:rPr>
            </w:pPr>
            <w:r>
              <w:rPr>
                <w:sz w:val="18"/>
                <w:szCs w:val="18"/>
              </w:rPr>
              <w:t>182.96 (0)</w:t>
            </w:r>
          </w:p>
          <w:p>
            <w:pPr>
              <w:pStyle w:val="Style28"/>
              <w:ind w:left="0" w:right="0" w:hanging="0"/>
              <w:rPr>
                <w:sz w:val="18"/>
                <w:szCs w:val="18"/>
              </w:rPr>
            </w:pPr>
            <w:r>
              <w:rPr>
                <w:sz w:val="18"/>
                <w:szCs w:val="18"/>
              </w:rPr>
              <w:t>156.95 (100)</w:t>
            </w:r>
          </w:p>
          <w:p>
            <w:pPr>
              <w:pStyle w:val="Style28"/>
              <w:ind w:left="0" w:right="0" w:hanging="0"/>
              <w:rPr>
                <w:sz w:val="18"/>
                <w:szCs w:val="18"/>
              </w:rPr>
            </w:pPr>
            <w:r>
              <w:rPr>
                <w:sz w:val="18"/>
                <w:szCs w:val="18"/>
              </w:rPr>
              <w:t>154.95 (70)</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156.95 (77)</w:t>
            </w:r>
          </w:p>
          <w:p>
            <w:pPr>
              <w:pStyle w:val="Style28"/>
              <w:ind w:left="0" w:right="0" w:hanging="0"/>
              <w:rPr>
                <w:sz w:val="18"/>
                <w:szCs w:val="18"/>
              </w:rPr>
            </w:pPr>
            <w:r>
              <w:rPr>
                <w:sz w:val="18"/>
                <w:szCs w:val="18"/>
              </w:rPr>
              <w:t>154.95 (100)</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1a</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359.04 (15)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105.05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77.04 (84)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(16)</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(67)</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(13)</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(84)</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(14)</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(84)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(0)</w:t>
            </w:r>
          </w:p>
          <w:p>
            <w:pPr>
              <w:pStyle w:val="Style28"/>
              <w:ind w:left="0" w:right="0" w:hanging="0"/>
              <w:rPr>
                <w:sz w:val="18"/>
                <w:szCs w:val="18"/>
              </w:rPr>
            </w:pPr>
            <w:r>
              <w:rPr>
                <w:sz w:val="18"/>
                <w:szCs w:val="18"/>
              </w:rPr>
              <w:t>105.05 (24)</w:t>
            </w:r>
          </w:p>
          <w:p>
            <w:pPr>
              <w:pStyle w:val="Style28"/>
              <w:ind w:left="0" w:right="0" w:hanging="0"/>
              <w:rPr>
                <w:sz w:val="18"/>
                <w:szCs w:val="18"/>
              </w:rPr>
            </w:pPr>
            <w:r>
              <w:rPr>
                <w:sz w:val="18"/>
                <w:szCs w:val="18"/>
              </w:rPr>
              <w:t>77.04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(2)</w:t>
            </w:r>
          </w:p>
          <w:p>
            <w:pPr>
              <w:pStyle w:val="Style28"/>
              <w:ind w:left="0" w:right="0" w:hanging="0"/>
              <w:rPr>
                <w:sz w:val="18"/>
                <w:szCs w:val="18"/>
              </w:rPr>
            </w:pPr>
            <w:r>
              <w:rPr>
                <w:sz w:val="18"/>
                <w:szCs w:val="18"/>
              </w:rPr>
              <w:t>77.04 (100)</w:t>
            </w:r>
          </w:p>
          <w:p>
            <w:pPr>
              <w:pStyle w:val="Style28"/>
              <w:ind w:left="0" w:right="0" w:hanging="0"/>
              <w:rPr>
                <w:sz w:val="18"/>
                <w:szCs w:val="18"/>
              </w:rPr>
            </w:pPr>
            <w:r>
              <w:rPr>
                <w:sz w:val="18"/>
                <w:szCs w:val="18"/>
              </w:rPr>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105.05 (0)</w:t>
            </w:r>
          </w:p>
          <w:p>
            <w:pPr>
              <w:pStyle w:val="Style28"/>
              <w:ind w:left="0" w:right="0" w:hanging="0"/>
              <w:rPr>
                <w:sz w:val="18"/>
                <w:szCs w:val="18"/>
              </w:rPr>
            </w:pPr>
            <w:r>
              <w:rPr>
                <w:sz w:val="18"/>
                <w:szCs w:val="18"/>
              </w:rPr>
              <w:t>77.04 (100)</w:t>
            </w:r>
          </w:p>
          <w:p>
            <w:pPr>
              <w:pStyle w:val="Style28"/>
              <w:ind w:left="0" w:right="0" w:hanging="0"/>
              <w:rPr>
                <w:sz w:val="18"/>
                <w:szCs w:val="18"/>
              </w:rPr>
            </w:pPr>
            <w:r>
              <w:rPr>
                <w:sz w:val="18"/>
                <w:szCs w:val="18"/>
              </w:rPr>
              <w:t>51.06 (5)</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1g</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447.02 (29)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149.04 (47)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121.03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(45)</w:t>
            </w:r>
          </w:p>
          <w:p>
            <w:pPr>
              <w:pStyle w:val="Style28"/>
              <w:ind w:left="0" w:right="0" w:hanging="0"/>
              <w:rPr>
                <w:sz w:val="18"/>
                <w:szCs w:val="18"/>
              </w:rPr>
            </w:pPr>
            <w:r>
              <w:rPr>
                <w:sz w:val="18"/>
                <w:szCs w:val="18"/>
              </w:rPr>
              <w:t>149.04 (100)</w:t>
            </w:r>
          </w:p>
          <w:p>
            <w:pPr>
              <w:pStyle w:val="Style28"/>
              <w:ind w:left="0" w:right="0" w:hanging="0"/>
              <w:rPr>
                <w:sz w:val="18"/>
                <w:szCs w:val="18"/>
              </w:rPr>
            </w:pPr>
            <w:r>
              <w:rPr>
                <w:sz w:val="18"/>
                <w:szCs w:val="18"/>
              </w:rPr>
              <w:t>121.03 (78)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(28)</w:t>
            </w:r>
          </w:p>
          <w:p>
            <w:pPr>
              <w:pStyle w:val="Style28"/>
              <w:ind w:left="0" w:right="0" w:hanging="0"/>
              <w:rPr>
                <w:sz w:val="18"/>
                <w:szCs w:val="18"/>
              </w:rPr>
            </w:pPr>
            <w:r>
              <w:rPr>
                <w:sz w:val="18"/>
                <w:szCs w:val="18"/>
              </w:rPr>
              <w:t>149.04 (96)</w:t>
            </w:r>
          </w:p>
          <w:p>
            <w:pPr>
              <w:pStyle w:val="Style28"/>
              <w:ind w:left="0" w:right="0" w:hanging="0"/>
              <w:rPr>
                <w:sz w:val="18"/>
                <w:szCs w:val="18"/>
              </w:rPr>
            </w:pPr>
            <w:r>
              <w:rPr>
                <w:sz w:val="18"/>
                <w:szCs w:val="18"/>
              </w:rPr>
              <w:t>121.03 (100)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(12)</w:t>
            </w:r>
          </w:p>
          <w:p>
            <w:pPr>
              <w:pStyle w:val="Style28"/>
              <w:ind w:left="0" w:right="0" w:hanging="0"/>
              <w:rPr>
                <w:sz w:val="18"/>
                <w:szCs w:val="18"/>
              </w:rPr>
            </w:pPr>
            <w:r>
              <w:rPr>
                <w:sz w:val="18"/>
                <w:szCs w:val="18"/>
              </w:rPr>
              <w:t>149.04 (91)</w:t>
            </w:r>
          </w:p>
          <w:p>
            <w:pPr>
              <w:pStyle w:val="Style28"/>
              <w:ind w:left="0" w:right="0" w:hanging="0"/>
              <w:rPr>
                <w:sz w:val="18"/>
                <w:szCs w:val="18"/>
              </w:rPr>
            </w:pPr>
            <w:r>
              <w:rPr>
                <w:sz w:val="18"/>
                <w:szCs w:val="18"/>
              </w:rPr>
              <w:t>121.03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(0)</w:t>
            </w:r>
          </w:p>
          <w:p>
            <w:pPr>
              <w:pStyle w:val="Style28"/>
              <w:ind w:left="0" w:right="0" w:hanging="0"/>
              <w:rPr>
                <w:sz w:val="18"/>
                <w:szCs w:val="18"/>
              </w:rPr>
            </w:pPr>
            <w:r>
              <w:rPr>
                <w:sz w:val="18"/>
                <w:szCs w:val="18"/>
              </w:rPr>
              <w:t>149.04 (12)</w:t>
            </w:r>
          </w:p>
          <w:p>
            <w:pPr>
              <w:pStyle w:val="Style28"/>
              <w:ind w:left="0" w:right="0" w:hanging="0"/>
              <w:rPr>
                <w:sz w:val="18"/>
                <w:szCs w:val="18"/>
              </w:rPr>
            </w:pPr>
            <w:r>
              <w:rPr>
                <w:sz w:val="18"/>
                <w:szCs w:val="18"/>
              </w:rPr>
              <w:t>121.03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149.04 (0)</w:t>
            </w:r>
          </w:p>
          <w:p>
            <w:pPr>
              <w:pStyle w:val="Style28"/>
              <w:ind w:left="0" w:right="0" w:hanging="0"/>
              <w:rPr>
                <w:sz w:val="18"/>
                <w:szCs w:val="18"/>
              </w:rPr>
            </w:pPr>
            <w:r>
              <w:rPr>
                <w:sz w:val="18"/>
                <w:szCs w:val="18"/>
              </w:rPr>
              <w:t>121.03 (100)</w:t>
            </w:r>
          </w:p>
          <w:p>
            <w:pPr>
              <w:pStyle w:val="Style28"/>
              <w:ind w:left="0" w:right="0" w:hanging="0"/>
              <w:rPr>
                <w:sz w:val="18"/>
                <w:szCs w:val="18"/>
              </w:rPr>
            </w:pPr>
            <w:r>
              <w:rPr>
                <w:sz w:val="18"/>
                <w:szCs w:val="18"/>
              </w:rPr>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149.04 (0)</w:t>
            </w:r>
          </w:p>
          <w:p>
            <w:pPr>
              <w:pStyle w:val="Style28"/>
              <w:ind w:left="0" w:right="0" w:hanging="0"/>
              <w:rPr>
                <w:sz w:val="18"/>
                <w:szCs w:val="18"/>
              </w:rPr>
            </w:pPr>
            <w:r>
              <w:rPr>
                <w:sz w:val="18"/>
                <w:szCs w:val="18"/>
              </w:rPr>
              <w:t>121.03 (100)</w:t>
            </w:r>
          </w:p>
        </w:tc>
      </w:tr>
    </w:tbl>
    <w:p>
      <w:pPr>
        <w:pStyle w:val="Normal"/>
        <w:rPr/>
      </w:pPr>
      <w:r>
        <w:rPr/>
      </w:r>
    </w:p>
    <w:p>
      <w:pPr>
        <w:pStyle w:val="Normal"/>
        <w:rPr/>
      </w:pPr>
      <w:r>
        <w:rPr/>
        <w:t xml:space="preserve">Следует отметить некоторые особенности фрагментации этих частиц. Во первых, полностью отсутствуют промежуточные массы между массой кластерного иона и одиночного диазониевого катиона, то есть при энергетических воздействиях не происходит внутримолекулярных процессов в кластере, а только отщепление катиона. </w:t>
      </w:r>
    </w:p>
    <w:p>
      <w:pPr>
        <w:pStyle w:val="Normal"/>
        <w:rPr/>
      </w:pPr>
      <w:r>
        <w:rPr/>
        <w:t>Во вторых, дальнейшая фрагментация, при более высоких энергиях соударений приводит к появлению масс полностью совпадающих с масс спектрами соответствующих диазониевых катионов, и не содержит дополнительных линий, что также свидетельствует об отсутствии внутримолекулярных процессов в кластерной частице. Никаких линий в спектрах соответствующих отщеплению азота от кластерной частицы мы не наблюдали.</w:t>
      </w:r>
    </w:p>
    <w:p>
      <w:pPr>
        <w:pStyle w:val="Normal"/>
        <w:rPr/>
      </w:pPr>
      <w:r>
        <w:rPr/>
        <w:t>В третьих, глубокая фрагментация</w:t>
      </w:r>
      <w:r>
        <w:rPr>
          <w:highlight w:val="yellow"/>
        </w:rPr>
        <w:t xml:space="preserve"> кластеров</w:t>
      </w:r>
      <w:r>
        <w:rPr/>
        <w:t xml:space="preserve">, с разрушением диазониевых и фенильных катионов, наблюдается только при высоких энергиях (20, 40 эВ), причем диазониевые катионы существуют вплоть до 20 эВ, а фенильные катионы до 40 эВ, вероятно в присутствии анионов происходит  стабилизация от энергетических воздействий. Если сравнить ряд диазониевых солей для одного вида катионов, можно оценить степень стабилизации от вида аниона  (таблица 6). По результатам эксперимента, в присутствии тозилата и трифрата соотношение интенсивностей диазониевого катиона к </w:t>
      </w:r>
      <w:r>
        <w:rPr>
          <w:highlight w:val="yellow"/>
        </w:rPr>
        <w:t xml:space="preserve">фенильному выше, чем </w:t>
      </w:r>
      <w:r>
        <w:rPr>
          <w:highlight w:val="yellow"/>
        </w:rPr>
        <w:t>у</w:t>
      </w:r>
      <w:r>
        <w:rPr>
          <w:highlight w:val="yellow"/>
        </w:rPr>
        <w:t xml:space="preserve"> тетрафторбората </w:t>
      </w:r>
      <w:r>
        <w:rPr>
          <w:i w:val="false"/>
          <w:iCs w:val="false"/>
          <w:color w:val="auto"/>
          <w:highlight w:val="yellow"/>
        </w:rPr>
        <w:t>д</w:t>
      </w:r>
      <w:r>
        <w:rPr>
          <w:i w:val="false"/>
          <w:iCs w:val="false"/>
          <w:color w:val="auto"/>
          <w:highlight w:val="yellow"/>
        </w:rPr>
        <w:t>ля энергий больше 1 эВ</w:t>
      </w:r>
      <w:r>
        <w:rPr>
          <w:i w:val="false"/>
          <w:iCs w:val="false"/>
          <w:color w:val="auto"/>
          <w:highlight w:val="yellow"/>
        </w:rPr>
        <w:t>.</w:t>
      </w:r>
      <w:r>
        <w:rPr/>
        <w:t xml:space="preserve"> Стабилизирующий эффект возрастает в следующем ряду противоионов ArN</w:t>
      </w:r>
      <w:r>
        <w:rPr>
          <w:vertAlign w:val="subscript"/>
        </w:rPr>
        <w:t>2</w:t>
      </w:r>
      <w:r>
        <w:rPr>
          <w:vertAlign w:val="superscript"/>
        </w:rPr>
        <w:t>+</w:t>
      </w:r>
      <w:r>
        <w:rPr/>
        <w:t xml:space="preserve"> X</w:t>
      </w:r>
      <w:r>
        <w:rPr>
          <w:vertAlign w:val="superscript"/>
        </w:rPr>
        <w:t>-</w:t>
      </w:r>
      <w:r>
        <w:rPr/>
        <w:t>: BF</w:t>
      </w:r>
      <w:r>
        <w:rPr>
          <w:vertAlign w:val="subscript"/>
        </w:rPr>
        <w:t>4</w:t>
      </w:r>
      <w:r>
        <w:rPr>
          <w:vertAlign w:val="superscript"/>
        </w:rPr>
        <w:t>-</w:t>
      </w:r>
      <w:r>
        <w:rPr/>
        <w:t xml:space="preserve"> &lt; TsO</w:t>
      </w:r>
      <w:r>
        <w:rPr>
          <w:vertAlign w:val="superscript"/>
        </w:rPr>
        <w:t>-</w:t>
      </w:r>
      <w:r>
        <w:rPr/>
        <w:t xml:space="preserve"> ~ TfO</w:t>
      </w:r>
      <w:r>
        <w:rPr>
          <w:vertAlign w:val="superscript"/>
        </w:rPr>
        <w:t>-</w:t>
      </w:r>
      <w:r>
        <w:rPr/>
        <w:t>.</w:t>
      </w:r>
    </w:p>
    <w:p>
      <w:pPr>
        <w:pStyle w:val="Normal"/>
        <w:rPr/>
      </w:pPr>
      <w:r>
        <w:rPr/>
      </w:r>
    </w:p>
    <w:p>
      <w:pPr>
        <w:pStyle w:val="Normal"/>
        <w:rPr/>
      </w:pPr>
      <w:r>
        <w:rPr/>
      </w:r>
    </w:p>
    <w:p>
      <w:pPr>
        <w:pStyle w:val="Normal"/>
        <w:rPr/>
      </w:pPr>
      <w:r>
        <w:rPr/>
      </w:r>
    </w:p>
    <w:p>
      <w:pPr>
        <w:pStyle w:val="Normal"/>
        <w:jc w:val="right"/>
        <w:rPr/>
      </w:pPr>
      <w:r>
        <w:rPr/>
        <w:t xml:space="preserve">Таблица 6. </w:t>
      </w:r>
    </w:p>
    <w:p>
      <w:pPr>
        <w:pStyle w:val="Normal"/>
        <w:jc w:val="center"/>
        <w:rPr/>
      </w:pPr>
      <w:r>
        <w:rPr/>
        <w:t>Соотношение интенсивностей диазониевого катиона (</w:t>
      </w: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 xml:space="preserve">+  </w:t>
      </w:r>
      <w:r>
        <w:rPr/>
        <w:t xml:space="preserve">M/Z=150.03) к </w:t>
      </w:r>
    </w:p>
    <w:p>
      <w:pPr>
        <w:pStyle w:val="Normal"/>
        <w:jc w:val="center"/>
        <w:rPr/>
      </w:pPr>
      <w:r>
        <w:rPr/>
        <w:t>интенсивности арильного катиона (</w:t>
      </w:r>
      <w:r>
        <w:rPr>
          <w:sz w:val="22"/>
          <w:szCs w:val="22"/>
        </w:rPr>
        <w:t>4-NO</w:t>
      </w:r>
      <w:r>
        <w:rPr>
          <w:sz w:val="22"/>
          <w:szCs w:val="22"/>
          <w:vertAlign w:val="subscript"/>
        </w:rPr>
        <w:t>2</w:t>
      </w:r>
      <w:r>
        <w:rPr>
          <w:sz w:val="22"/>
          <w:szCs w:val="22"/>
        </w:rPr>
        <w:t>-Ph</w:t>
      </w:r>
      <w:r>
        <w:rPr>
          <w:sz w:val="22"/>
          <w:szCs w:val="22"/>
          <w:vertAlign w:val="superscript"/>
        </w:rPr>
        <w:t xml:space="preserve">+  </w:t>
      </w:r>
      <w:r>
        <w:rPr/>
        <w:t xml:space="preserve">M/Z=122.03) в спектрах MS2 </w:t>
      </w:r>
    </w:p>
    <w:p>
      <w:pPr>
        <w:pStyle w:val="Normal"/>
        <w:jc w:val="center"/>
        <w:rPr/>
      </w:pPr>
      <w:r>
        <w:rPr/>
        <w:t>кластерных диазониевых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450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2465"/>
        <w:gridCol w:w="1622"/>
        <w:gridCol w:w="1270"/>
        <w:gridCol w:w="1105"/>
        <w:gridCol w:w="1104"/>
        <w:gridCol w:w="1108"/>
      </w:tblGrid>
      <w:tr>
        <w:trPr>
          <w:tblHeader w:val="true"/>
        </w:trPr>
        <w:tc>
          <w:tcPr>
            <w:tcW w:w="2465"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2"/>
                <w:szCs w:val="22"/>
              </w:rPr>
            </w:pPr>
            <w:r>
              <w:rPr>
                <w:sz w:val="22"/>
                <w:szCs w:val="22"/>
              </w:rPr>
              <w:t>Кластерный ион</w:t>
            </w:r>
          </w:p>
        </w:tc>
        <w:tc>
          <w:tcPr>
            <w:tcW w:w="1622"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2"/>
                <w:szCs w:val="22"/>
              </w:rPr>
            </w:pPr>
            <w:r>
              <w:rPr>
                <w:sz w:val="22"/>
                <w:szCs w:val="22"/>
              </w:rPr>
              <w:t>Прекурсор</w:t>
            </w:r>
          </w:p>
        </w:tc>
        <w:tc>
          <w:tcPr>
            <w:tcW w:w="4587"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9"/>
              <w:ind w:left="0" w:right="0" w:hanging="0"/>
              <w:rPr/>
            </w:pPr>
            <w:r>
              <w:rPr>
                <w:sz w:val="22"/>
                <w:szCs w:val="22"/>
                <w:lang w:val="en-US"/>
              </w:rPr>
              <w:t>Int(4-NO</w:t>
            </w:r>
            <w:r>
              <w:rPr>
                <w:sz w:val="22"/>
                <w:szCs w:val="22"/>
                <w:vertAlign w:val="subscript"/>
                <w:lang w:val="en-US"/>
              </w:rPr>
              <w:t>2</w:t>
            </w:r>
            <w:r>
              <w:rPr>
                <w:sz w:val="22"/>
                <w:szCs w:val="22"/>
                <w:lang w:val="en-US"/>
              </w:rPr>
              <w:t>-Ph-N</w:t>
            </w:r>
            <w:r>
              <w:rPr>
                <w:sz w:val="22"/>
                <w:szCs w:val="22"/>
                <w:vertAlign w:val="subscript"/>
                <w:lang w:val="en-US"/>
              </w:rPr>
              <w:t>2</w:t>
            </w:r>
            <w:r>
              <w:rPr>
                <w:sz w:val="22"/>
                <w:szCs w:val="22"/>
                <w:vertAlign w:val="superscript"/>
                <w:lang w:val="en-US"/>
              </w:rPr>
              <w:t>+</w:t>
            </w:r>
            <w:r>
              <w:rPr>
                <w:sz w:val="22"/>
                <w:szCs w:val="22"/>
                <w:lang w:val="en-US"/>
              </w:rPr>
              <w:t>) / Int(4-NO</w:t>
            </w:r>
            <w:r>
              <w:rPr>
                <w:sz w:val="22"/>
                <w:szCs w:val="22"/>
                <w:vertAlign w:val="subscript"/>
                <w:lang w:val="en-US"/>
              </w:rPr>
              <w:t>2</w:t>
            </w:r>
            <w:r>
              <w:rPr>
                <w:sz w:val="22"/>
                <w:szCs w:val="22"/>
                <w:lang w:val="en-US"/>
              </w:rPr>
              <w:t>-Ph</w:t>
            </w:r>
            <w:r>
              <w:rPr>
                <w:sz w:val="22"/>
                <w:szCs w:val="22"/>
                <w:vertAlign w:val="superscript"/>
                <w:lang w:val="en-US"/>
              </w:rPr>
              <w:t>+</w:t>
            </w:r>
            <w:r>
              <w:rPr>
                <w:sz w:val="22"/>
                <w:szCs w:val="22"/>
                <w:lang w:val="en-US"/>
              </w:rPr>
              <w:t>)</w:t>
            </w:r>
          </w:p>
        </w:tc>
      </w:tr>
      <w:tr>
        <w:trPr>
          <w:tblHeader w:val="true"/>
        </w:trPr>
        <w:tc>
          <w:tcPr>
            <w:tcW w:w="2465"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622"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0 eV</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1 eV</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10 eV</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20 eV</w:t>
            </w:r>
          </w:p>
        </w:tc>
      </w:tr>
      <w:tr>
        <w:trPr/>
        <w:tc>
          <w:tcPr>
            <w:tcW w:w="246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TfO</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449.02</w:t>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2.08</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1.92</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0.48</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0.06</w:t>
            </w:r>
          </w:p>
        </w:tc>
      </w:tr>
      <w:tr>
        <w:trPr/>
        <w:tc>
          <w:tcPr>
            <w:tcW w:w="246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TsO</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471.07</w:t>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2.17</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2.04</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0.60</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0.10</w:t>
            </w:r>
          </w:p>
        </w:tc>
      </w:tr>
      <w:tr>
        <w:trPr/>
        <w:tc>
          <w:tcPr>
            <w:tcW w:w="246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BF</w:t>
            </w:r>
            <w:r>
              <w:rPr>
                <w:sz w:val="22"/>
                <w:szCs w:val="22"/>
                <w:vertAlign w:val="subscript"/>
              </w:rPr>
              <w:t>4</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387.07</w:t>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2.17</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2.04</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0.26</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0.00</w:t>
            </w:r>
          </w:p>
        </w:tc>
      </w:tr>
    </w:tbl>
    <w:p>
      <w:pPr>
        <w:pStyle w:val="2"/>
        <w:numPr>
          <w:ilvl w:val="1"/>
          <w:numId w:val="1"/>
        </w:numPr>
        <w:ind w:left="567" w:right="0" w:hanging="0"/>
        <w:rPr/>
      </w:pPr>
      <w:bookmarkStart w:id="12" w:name="__RefHeading___Toc11490_1966729274"/>
      <w:bookmarkEnd w:id="12"/>
      <w:r>
        <w:rPr/>
        <w:t>3.</w:t>
      </w:r>
      <w:r>
        <w:rPr/>
        <w:t>4</w:t>
      </w:r>
      <w:r>
        <w:rPr/>
        <w:t>. Квантовохимический расчет прочности кластерных катионов</w:t>
      </w:r>
    </w:p>
    <w:p>
      <w:pPr>
        <w:pStyle w:val="Normal"/>
        <w:rPr>
          <w:highlight w:val="yellow"/>
        </w:rPr>
      </w:pPr>
      <w:r>
        <w:rPr>
          <w:highlight w:val="yellow"/>
        </w:rPr>
        <w:t xml:space="preserve">Для теоретического описания процесса фрагментации кластерных ионов мы выполнили   квантовохимический расчет </w:t>
      </w:r>
      <w:r>
        <w:rPr>
          <w:highlight w:val="yellow"/>
        </w:rPr>
        <w:t xml:space="preserve">структуры кластеров и </w:t>
      </w:r>
      <w:r>
        <w:rPr>
          <w:highlight w:val="yellow"/>
        </w:rPr>
        <w:t xml:space="preserve">энергетики двух процессов - диссоциации катион-анионной пары и отщепление катиона от кластерной частицы, результаты представлены в таблицах 7 и 8. </w:t>
      </w:r>
    </w:p>
    <w:p>
      <w:pPr>
        <w:pStyle w:val="Normal"/>
        <w:rPr/>
      </w:pPr>
      <w:r>
        <w:rPr/>
      </w:r>
    </w:p>
    <w:p>
      <w:pPr>
        <w:pStyle w:val="Normal"/>
        <w:jc w:val="right"/>
        <w:rPr/>
      </w:pPr>
      <w:r>
        <w:rPr/>
        <w:t xml:space="preserve">Таблица 7. </w:t>
      </w:r>
    </w:p>
    <w:p>
      <w:pPr>
        <w:pStyle w:val="Normal"/>
        <w:jc w:val="center"/>
        <w:rPr/>
      </w:pPr>
      <w:r>
        <w:rPr/>
        <w:t xml:space="preserve">Термодинамика диссоциации катион-анионной пары в газовой фазе для диазониевых </w:t>
      </w:r>
    </w:p>
    <w:p>
      <w:pPr>
        <w:pStyle w:val="Normal"/>
        <w:jc w:val="center"/>
        <w:rPr/>
      </w:pPr>
      <w:r>
        <w:rPr/>
        <w:t>солей, рассчитанная методом DFT Restricted B3LYP в базисе 6-31G(d,p)</w:t>
      </w:r>
    </w:p>
    <w:p>
      <w:pPr>
        <w:pStyle w:val="Normal"/>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40"/>
        <w:gridCol w:w="5209"/>
        <w:gridCol w:w="1023"/>
        <w:gridCol w:w="1023"/>
        <w:gridCol w:w="1022"/>
        <w:gridCol w:w="1021"/>
      </w:tblGrid>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Process</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a</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365.15</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316.70</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360.78</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44.12</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1b</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391.77</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342.08</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386.39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44.35</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1c</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406.91</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355.65</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401.25</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45.63</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1d</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408.03</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357.21</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402.39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45.21</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e</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348.53</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302.47</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343.29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40.85</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f</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367.89</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319.97</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362.96</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43.02</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g</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4-HOOC-Ph-N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381.41</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333.59</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376.31</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42.74</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h</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375.52</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329.79</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370.80</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41.04</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i</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2-HOOC-4-Br-Ph-N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2-HOOC-4-Br-Ph-N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369.74</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322.28</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364.92</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42.67</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2</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TsO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446.67</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399.91</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440.57</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40.69</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3</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BF</w:t>
            </w:r>
            <w:r>
              <w:rPr>
                <w:position w:val="-3"/>
                <w:sz w:val="20"/>
                <w:szCs w:val="20"/>
                <w:lang w:val="en-US"/>
              </w:rPr>
              <w:t>4</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BF</w:t>
            </w:r>
            <w:r>
              <w:rPr>
                <w:position w:val="-3"/>
                <w:sz w:val="20"/>
                <w:szCs w:val="20"/>
                <w:lang w:val="en-US"/>
              </w:rPr>
              <w:t>4</w:t>
            </w:r>
            <w:r>
              <w:rPr>
                <w:position w:val="7"/>
                <w:sz w:val="20"/>
                <w:szCs w:val="20"/>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438.56</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386.13</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432.81</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46.71</w:t>
            </w:r>
          </w:p>
        </w:tc>
      </w:tr>
    </w:tbl>
    <w:p>
      <w:pPr>
        <w:pStyle w:val="Normal"/>
        <w:jc w:val="right"/>
        <w:rPr/>
      </w:pPr>
      <w:r>
        <w:rPr/>
      </w:r>
    </w:p>
    <w:p>
      <w:pPr>
        <w:pStyle w:val="Normal"/>
        <w:jc w:val="right"/>
        <w:rPr/>
      </w:pPr>
      <w:r>
        <w:rPr/>
      </w:r>
      <w:r>
        <w:br w:type="page"/>
      </w:r>
    </w:p>
    <w:p>
      <w:pPr>
        <w:pStyle w:val="Normal"/>
        <w:jc w:val="right"/>
        <w:rPr/>
      </w:pPr>
      <w:r>
        <w:rPr/>
        <w:t xml:space="preserve">Таблица 8. </w:t>
      </w:r>
    </w:p>
    <w:p>
      <w:pPr>
        <w:pStyle w:val="Normal"/>
        <w:spacing w:lineRule="auto" w:line="288"/>
        <w:jc w:val="center"/>
        <w:rPr>
          <w:highlight w:val="yellow"/>
        </w:rPr>
      </w:pPr>
      <w:r>
        <w:rPr>
          <w:highlight w:val="yellow"/>
        </w:rPr>
        <w:t xml:space="preserve">Термодинамика отщепления диазониевых катионов от кластерных частиц в </w:t>
      </w:r>
    </w:p>
    <w:p>
      <w:pPr>
        <w:pStyle w:val="Normal"/>
        <w:spacing w:lineRule="auto" w:line="288"/>
        <w:jc w:val="center"/>
        <w:rPr>
          <w:highlight w:val="yellow"/>
        </w:rPr>
      </w:pPr>
      <w:r>
        <w:rPr>
          <w:highlight w:val="yellow"/>
        </w:rPr>
        <w:t>газовой фазе рассчитанная методом DFT Restricted B3LYP в базисе 6-31G(d,p)</w:t>
      </w:r>
    </w:p>
    <w:p>
      <w:pPr>
        <w:pStyle w:val="Normal"/>
        <w:spacing w:lineRule="auto" w:line="288"/>
        <w:jc w:val="center"/>
        <w:rPr>
          <w:highlight w:val="yellow"/>
        </w:rPr>
      </w:pPr>
      <w:r>
        <w:rPr>
          <w:highlight w:val="yellow"/>
        </w:rPr>
        <w:t>(</w:t>
      </w:r>
      <w:r>
        <w:rPr>
          <w:highlight w:val="yellow"/>
        </w:rPr>
        <w:t>v1</w:t>
      </w:r>
      <w:r>
        <w:rPr>
          <w:highlight w:val="yellow"/>
        </w:rPr>
        <w:t xml:space="preserve"> - </w:t>
      </w:r>
      <w:r>
        <w:rPr>
          <w:highlight w:val="yellow"/>
        </w:rPr>
        <w:t>не</w:t>
      </w:r>
      <w:r>
        <w:rPr>
          <w:highlight w:val="yellow"/>
        </w:rPr>
        <w:t xml:space="preserve">симметричное, </w:t>
      </w:r>
      <w:r>
        <w:rPr>
          <w:highlight w:val="yellow"/>
        </w:rPr>
        <w:t>v2</w:t>
      </w:r>
      <w:r>
        <w:rPr>
          <w:highlight w:val="yellow"/>
        </w:rPr>
        <w:t xml:space="preserve"> - симметричное строение)</w:t>
      </w:r>
    </w:p>
    <w:p>
      <w:pPr>
        <w:pStyle w:val="Style24"/>
        <w:spacing w:before="0" w:after="0"/>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618"/>
        <w:gridCol w:w="5345"/>
        <w:gridCol w:w="920"/>
        <w:gridCol w:w="917"/>
        <w:gridCol w:w="917"/>
        <w:gridCol w:w="921"/>
      </w:tblGrid>
      <w:tr>
        <w:trPr>
          <w:tblHeader w:val="true"/>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534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a-v1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position w:val="-3"/>
                <w:sz w:val="20"/>
                <w:szCs w:val="20"/>
                <w:lang w:val="en-US"/>
              </w:rPr>
              <w:t xml:space="preserve"> </w:t>
            </w:r>
            <w:r>
              <w:rPr>
                <w:sz w:val="20"/>
                <w:szCs w:val="20"/>
                <w:lang w:val="en-US"/>
              </w:rPr>
              <w:t>TfO</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138.67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96.35</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132.33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36.00</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a-v2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136.29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94.47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130.01</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35.57</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1b-v1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[2-NO</w:t>
            </w:r>
            <w:r>
              <w:rPr>
                <w:sz w:val="20"/>
                <w:szCs w:val="20"/>
                <w:vertAlign w:val="subscript"/>
                <w:lang w:val="en-US"/>
              </w:rPr>
              <w:t>2</w:t>
            </w: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130.34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91.37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124.74</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33.39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b</w:t>
            </w:r>
            <w:r>
              <w:rPr>
                <w:b/>
                <w:bCs/>
                <w:sz w:val="20"/>
                <w:szCs w:val="20"/>
              </w:rPr>
              <w:t>-v2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127.06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86.73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121.67</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34.96</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1c-v1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126.86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88.16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121.30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33.16</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1c-v2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124.17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83.95</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118.60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34.67</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1d-v1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125.53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86.86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119.96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33.12</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1d-v2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125.97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83.76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120.13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36.39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1e-v1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129.79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85.81</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124.36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38.58</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1e-v2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126.29</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85.43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121.02</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35.61</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1f-v1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 xml:space="preserve"> + 2-HOOC-Ph-N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127.07</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86.05</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121.06</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35.04</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1f-v2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115.03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75.08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109.45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34.40</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1g-v1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 xml:space="preserve"> + 4-HOOC-Ph-N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127.96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83.97</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121.92</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37.96</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1g-v2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124.64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86.54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118.59</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32.07</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1h-v1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[4-Br-Ph-N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127.78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83.54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121.78</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38.27</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1h-v2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125.90</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82.48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120.05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37.59</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1i-v1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 xml:space="preserve"> + 2-HOOC-4-Br-Ph-N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125.14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83.23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119.14</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35.93</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1i-v2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113.96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73.36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108.35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35.01</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2-v1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TsO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134.44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89.60</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128.47</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38.89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2-v2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132.80</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89.23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126.93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37.73</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3-v1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BF</w:t>
            </w:r>
            <w:r>
              <w:rPr>
                <w:position w:val="-3"/>
                <w:sz w:val="20"/>
                <w:szCs w:val="20"/>
                <w:lang w:val="en-US"/>
              </w:rPr>
              <w:t>4</w:t>
            </w:r>
            <w:r>
              <w:rPr>
                <w:position w:val="7"/>
                <w:sz w:val="20"/>
                <w:szCs w:val="20"/>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BF</w:t>
            </w:r>
            <w:r>
              <w:rPr>
                <w:position w:val="-3"/>
                <w:sz w:val="20"/>
                <w:szCs w:val="20"/>
                <w:lang w:val="en-US"/>
              </w:rPr>
              <w:t>4</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141.89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93.74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135.82</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42.11</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3-v2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145.01</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97.17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138.71</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41.56</w:t>
            </w:r>
          </w:p>
        </w:tc>
      </w:tr>
    </w:tbl>
    <w:p>
      <w:pPr>
        <w:pStyle w:val="Normal"/>
        <w:spacing w:lineRule="auto" w:line="288"/>
        <w:rPr>
          <w:rFonts w:eastAsia="Liberation Serif" w:cs="Liberation Serif"/>
          <w:color w:val="000000"/>
        </w:rPr>
      </w:pPr>
      <w:r>
        <w:rPr>
          <w:rFonts w:eastAsia="Liberation Serif" w:cs="Liberation Serif"/>
          <w:color w:val="000000"/>
        </w:rPr>
      </w:r>
    </w:p>
    <w:p>
      <w:pPr>
        <w:pStyle w:val="Normal"/>
        <w:spacing w:lineRule="auto" w:line="288"/>
        <w:rPr/>
      </w:pPr>
      <w:r>
        <w:rPr/>
        <w:t xml:space="preserve">Приведенные </w:t>
      </w:r>
      <w:r>
        <w:rPr/>
        <w:t>в приложении 4</w:t>
      </w:r>
      <w:r>
        <w:rPr/>
        <w:t xml:space="preserve"> значения структурных параметров в таблице </w:t>
      </w:r>
      <w:r>
        <w:rPr/>
        <w:t>4S.3</w:t>
      </w:r>
      <w:r>
        <w:rPr/>
        <w:t xml:space="preserve"> показывают, что в кластерных катионах связывание происходит как за счет ионного взаимодействия, так и за счет водородной связи. Сумма ван-дер-ваальсовых радиусов водорода и кислорода  2.500 </w:t>
      </w:r>
      <w:r>
        <w:rPr>
          <w:sz w:val="20"/>
          <w:szCs w:val="20"/>
        </w:rPr>
        <w:t>Å</w:t>
      </w:r>
      <w:r>
        <w:rPr>
          <w:b/>
          <w:bCs/>
          <w:sz w:val="20"/>
          <w:szCs w:val="20"/>
        </w:rPr>
        <w:t xml:space="preserve"> </w:t>
      </w:r>
      <w:r>
        <w:rPr/>
        <w:t xml:space="preserve"> значительно выше, чем дистанция между атомом кислорода сульфогруппы и атомом водорода в </w:t>
      </w:r>
      <w:r>
        <w:rPr>
          <w:rFonts w:ascii="Standard Symbols L" w:hAnsi="Standard Symbols L"/>
        </w:rPr>
        <w:t></w:t>
      </w:r>
      <w:r>
        <w:rPr/>
        <w:t>-положении d(O-H) от 1.979 </w:t>
      </w:r>
      <w:r>
        <w:rPr>
          <w:sz w:val="20"/>
          <w:szCs w:val="20"/>
        </w:rPr>
        <w:t>Å</w:t>
      </w:r>
      <w:r>
        <w:rPr/>
        <w:t xml:space="preserve"> до 2.190 </w:t>
      </w:r>
      <w:r>
        <w:rPr>
          <w:sz w:val="20"/>
          <w:szCs w:val="20"/>
        </w:rPr>
        <w:t>Å</w:t>
      </w:r>
      <w:r>
        <w:rPr/>
        <w:t xml:space="preserve">, что свидетельствует о наличии водородной связи. Этот факт согласуется с расчетными данными авторов [7n, 1s, 36n]. </w:t>
      </w:r>
      <w:r>
        <w:rPr/>
        <w:t>Сходные параметры связывания наблюдаются и в кристаллическом состоянии, по рентгеноструктурными данными для арендиазоний  тозилатов дистанция d(O-H)=2.350 </w:t>
      </w:r>
      <w:r>
        <w:rPr>
          <w:sz w:val="20"/>
          <w:szCs w:val="20"/>
        </w:rPr>
        <w:t>Å</w:t>
      </w:r>
      <w:r>
        <w:rPr/>
        <w:t>, d(N-O)=2.673 </w:t>
      </w:r>
      <w:r>
        <w:rPr>
          <w:sz w:val="20"/>
          <w:szCs w:val="20"/>
        </w:rPr>
        <w:t>Å</w:t>
      </w:r>
      <w:r>
        <w:rPr/>
        <w:t xml:space="preserve"> [3, 1s].   Образование водородных связей характерно для хлоридов и тетрафторборатов d(Cl-H)=1.960 </w:t>
      </w:r>
      <w:r>
        <w:rPr>
          <w:sz w:val="20"/>
          <w:szCs w:val="20"/>
        </w:rPr>
        <w:t>Å</w:t>
      </w:r>
      <w:r>
        <w:rPr/>
        <w:t>, d(F-H)=2.380 </w:t>
      </w:r>
      <w:r>
        <w:rPr>
          <w:sz w:val="20"/>
          <w:szCs w:val="20"/>
        </w:rPr>
        <w:t>Å</w:t>
      </w:r>
      <w:r>
        <w:rPr/>
        <w:t xml:space="preserve">  [1a, 7n, 32n, 36n].</w:t>
      </w:r>
    </w:p>
    <w:p>
      <w:pPr>
        <w:pStyle w:val="Normal"/>
        <w:spacing w:lineRule="auto" w:line="288"/>
        <w:rPr/>
      </w:pPr>
      <w:r>
        <w:rPr/>
        <w:t xml:space="preserve">Термодинамические расчеты показали, что энергии диссоциации DS в газовой фазе находятся в диапазоне 300-400 кДж/моль. Вероятно при энергиях столкновений до 10 эВ </w:t>
      </w:r>
      <w:r>
        <w:rPr/>
        <w:t>катион-анионная пара не подвергается распаду.</w:t>
      </w:r>
    </w:p>
    <w:p>
      <w:pPr>
        <w:pStyle w:val="Normal"/>
        <w:spacing w:lineRule="auto" w:line="288"/>
        <w:rPr/>
      </w:pPr>
      <w:r>
        <w:rPr/>
        <w:t xml:space="preserve">Энергетика отщепления одного диазониевого катиона от кластерной частицы значительно ниже и составляет величину от 80 до 100 кДж/моль, что соответствует результатам эксперимента представленного в разделе 3.5. </w:t>
      </w:r>
      <w:r>
        <w:rPr/>
        <w:t>В спектрах MS2 существенное изменение интенсивностей линий кластерных частиц и диазониевых катионов наблюдается при энергиях от 1 эВ. Вероятно, процесс фрагментации происходит на первой стадии с отщеплением диазониевого катиона, а при более высоких энергиях соударений происходит дальнейший распад диазониевых катионов, что объясняет отсутствие промежуточных масс.</w:t>
      </w:r>
    </w:p>
    <w:p>
      <w:pPr>
        <w:pStyle w:val="2"/>
        <w:numPr>
          <w:ilvl w:val="1"/>
          <w:numId w:val="1"/>
        </w:numPr>
        <w:ind w:left="567" w:right="0" w:hanging="0"/>
        <w:rPr/>
      </w:pPr>
      <w:bookmarkStart w:id="13" w:name="__RefHeading___Toc11492_1966729274"/>
      <w:bookmarkEnd w:id="13"/>
      <w:r>
        <w:rPr/>
        <w:t>3.</w:t>
      </w:r>
      <w:r>
        <w:rPr/>
        <w:t>5</w:t>
      </w:r>
      <w:r>
        <w:rPr/>
        <w:t>. Расчет профиля потенциальной энергии отщепления азота при фрагментации 2-нитрофенилдиазония</w:t>
      </w:r>
    </w:p>
    <w:p>
      <w:pPr>
        <w:pStyle w:val="Style24"/>
        <w:keepNext/>
        <w:widowControl/>
        <w:numPr>
          <w:ilvl w:val="0"/>
          <w:numId w:val="2"/>
        </w:numPr>
        <w:suppressAutoHyphens w:val="true"/>
        <w:bidi w:val="0"/>
        <w:spacing w:lineRule="auto" w:line="312" w:before="0" w:after="0"/>
        <w:ind w:left="0" w:right="0" w:firstLine="567"/>
        <w:jc w:val="both"/>
        <w:rPr/>
      </w:pPr>
      <w:r>
        <w:rPr/>
        <w:t xml:space="preserve">Для более подробного исследования </w:t>
      </w:r>
      <w:r>
        <w:rPr>
          <w:color w:val="auto"/>
        </w:rPr>
        <w:t xml:space="preserve">аномального спектра </w:t>
      </w:r>
      <w:r>
        <w:rPr>
          <w:color w:val="auto"/>
        </w:rPr>
        <w:t>и энергетики распада</w:t>
      </w:r>
      <w:r>
        <w:rPr/>
        <w:t xml:space="preserve"> 2</w:t>
        <w:noBreakHyphen/>
        <w:t>нитрофе-нилдиазониевого катиона (A) мы произвели расчет и построили энергетический профиль (рис 13.) при увеличении длины связи C-N (отщеплении азота). При дистанции d(C</w:t>
        <w:noBreakHyphen/>
        <w:t>N)=3.750 Å происходит переход атома кислорода нитро-группы 2-nitrobenzene-1-ylium (B) к соседнему атому углерода, с существенным понижением энергии (-240 кДж/моль) и образованием 1-nitroso-6-oxocyclohexa-2,4-dienylium (C). Происходит внутримолекулярный, практически необратимый окислительно-восстановительный процесс.</w:t>
      </w:r>
    </w:p>
    <w:p>
      <w:pPr>
        <w:pStyle w:val="Style24"/>
        <w:numPr>
          <w:ilvl w:val="0"/>
          <w:numId w:val="2"/>
        </w:numPr>
        <w:spacing w:lineRule="auto" w:line="312" w:before="0" w:after="0"/>
        <w:jc w:val="center"/>
        <w:rPr>
          <w:sz w:val="12"/>
          <w:szCs w:val="12"/>
        </w:rPr>
      </w:pPr>
      <w:r>
        <w:rPr>
          <w:sz w:val="12"/>
          <w:szCs w:val="12"/>
        </w:rPr>
      </w:r>
    </w:p>
    <w:p>
      <w:pPr>
        <w:pStyle w:val="Style24"/>
        <w:numPr>
          <w:ilvl w:val="0"/>
          <w:numId w:val="2"/>
        </w:numPr>
        <w:spacing w:lineRule="auto" w:line="312" w:before="0" w:after="0"/>
        <w:jc w:val="center"/>
        <w:rPr/>
      </w:pPr>
      <w:r>
        <w:rPr/>
        <w:drawing>
          <wp:inline distT="0" distB="0" distL="0" distR="0">
            <wp:extent cx="5401310" cy="4035425"/>
            <wp:effectExtent l="0" t="0" r="0" b="0"/>
            <wp:docPr id="3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 descr=""/>
                    <pic:cNvPicPr>
                      <a:picLocks noChangeAspect="1" noChangeArrowheads="1"/>
                    </pic:cNvPicPr>
                  </pic:nvPicPr>
                  <pic:blipFill>
                    <a:blip r:embed="rId32"/>
                    <a:stretch>
                      <a:fillRect/>
                    </a:stretch>
                  </pic:blipFill>
                  <pic:spPr bwMode="auto">
                    <a:xfrm>
                      <a:off x="0" y="0"/>
                      <a:ext cx="5401310" cy="4035425"/>
                    </a:xfrm>
                    <a:prstGeom prst="rect">
                      <a:avLst/>
                    </a:prstGeom>
                  </pic:spPr>
                </pic:pic>
              </a:graphicData>
            </a:graphic>
          </wp:inline>
        </w:drawing>
      </w:r>
    </w:p>
    <w:p>
      <w:pPr>
        <w:pStyle w:val="Style24"/>
        <w:numPr>
          <w:ilvl w:val="0"/>
          <w:numId w:val="2"/>
        </w:numPr>
        <w:spacing w:lineRule="auto" w:line="312" w:before="0" w:after="0"/>
        <w:jc w:val="center"/>
        <w:rPr/>
      </w:pPr>
      <w:r>
        <w:rPr/>
        <w:drawing>
          <wp:inline distT="0" distB="0" distL="0" distR="0">
            <wp:extent cx="3553460" cy="1110615"/>
            <wp:effectExtent l="0" t="0" r="0" b="0"/>
            <wp:docPr id="32"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6" descr=""/>
                    <pic:cNvPicPr>
                      <a:picLocks noChangeAspect="1" noChangeArrowheads="1"/>
                    </pic:cNvPicPr>
                  </pic:nvPicPr>
                  <pic:blipFill>
                    <a:blip r:embed="rId33"/>
                    <a:stretch>
                      <a:fillRect/>
                    </a:stretch>
                  </pic:blipFill>
                  <pic:spPr bwMode="auto">
                    <a:xfrm>
                      <a:off x="0" y="0"/>
                      <a:ext cx="3553460" cy="1110615"/>
                    </a:xfrm>
                    <a:prstGeom prst="rect">
                      <a:avLst/>
                    </a:prstGeom>
                  </pic:spPr>
                </pic:pic>
              </a:graphicData>
            </a:graphic>
          </wp:inline>
        </w:drawing>
      </w:r>
    </w:p>
    <w:p>
      <w:pPr>
        <w:pStyle w:val="Style24"/>
        <w:numPr>
          <w:ilvl w:val="0"/>
          <w:numId w:val="2"/>
        </w:numPr>
        <w:spacing w:lineRule="auto" w:line="312" w:before="0" w:after="0"/>
        <w:jc w:val="center"/>
        <w:rPr/>
      </w:pPr>
      <w:r>
        <w:rPr/>
        <w:t xml:space="preserve">Рисунок 14. </w:t>
      </w:r>
      <w:r>
        <w:rPr/>
        <w:t xml:space="preserve">Профиль потенциальной энергии и схема процесса </w:t>
      </w:r>
    </w:p>
    <w:p>
      <w:pPr>
        <w:pStyle w:val="Style24"/>
        <w:numPr>
          <w:ilvl w:val="0"/>
          <w:numId w:val="2"/>
        </w:numPr>
        <w:spacing w:lineRule="auto" w:line="312" w:before="0" w:after="0"/>
        <w:jc w:val="center"/>
        <w:rPr/>
      </w:pPr>
      <w:r>
        <w:rPr/>
        <w:t>отщепления азота при фрагментации 2-нитрофенилдиазония.</w:t>
      </w:r>
    </w:p>
    <w:p>
      <w:pPr>
        <w:pStyle w:val="Style24"/>
        <w:numPr>
          <w:ilvl w:val="0"/>
          <w:numId w:val="2"/>
        </w:numPr>
        <w:spacing w:lineRule="auto" w:line="312" w:before="0" w:after="0"/>
        <w:jc w:val="center"/>
        <w:rPr/>
      </w:pPr>
      <w:r>
        <w:rPr/>
      </w:r>
    </w:p>
    <w:p>
      <w:pPr>
        <w:pStyle w:val="Style24"/>
        <w:widowControl/>
        <w:numPr>
          <w:ilvl w:val="0"/>
          <w:numId w:val="2"/>
        </w:numPr>
        <w:suppressAutoHyphens w:val="true"/>
        <w:bidi w:val="0"/>
        <w:spacing w:lineRule="auto" w:line="312" w:before="0" w:after="0"/>
        <w:ind w:left="0" w:right="0" w:firstLine="567"/>
        <w:jc w:val="both"/>
        <w:rPr/>
      </w:pPr>
      <w:r>
        <w:rPr/>
        <w:t>В свою очередь образовавшийся катион 2-нитрозофенола способен к дальнейшему распаду, с отщеплением оксида азота (NO). Энергетический профиль такого процесса представлен на рисунке 1</w:t>
      </w:r>
      <w:r>
        <w:rPr/>
        <w:t>5</w:t>
      </w:r>
      <w:r>
        <w:rPr>
          <w:i/>
          <w:iCs/>
          <w:color w:val="0000CC"/>
          <w:highlight w:val="white"/>
        </w:rPr>
        <w:t>.</w:t>
      </w:r>
      <w:r>
        <w:rPr/>
        <w:t xml:space="preserve"> Процесс отщепления оксида азота требует энергетических затрат (240 кДж) и становится существенным при энергиях фрагментации более 1 эВ. Интересным фактом является наличие двух минимумов на энергетической диаграмме, соответствующих открытой структуре (А) 6-oxo-1-(oxoiminio)hexa-2,4-dien-6-ylium-1-ide с разрушением бензольного кольца d(C-N)=1.191 Å и циклической структуре (B) d(C-N)=1.311 Å). Разница энергий составляет 4.4 кДж/моль, энергетический барьер 26 кДж/моль, то есть эти две формы находятся в равновесии. Вероятно, наличие открытой формы </w:t>
      </w:r>
      <w:r>
        <w:rPr>
          <w:b w:val="false"/>
          <w:bCs w:val="false"/>
          <w:color w:val="auto"/>
        </w:rPr>
        <w:t>(E)</w:t>
      </w:r>
      <w:r>
        <w:rPr/>
        <w:t xml:space="preserve"> облегчает процесс дальнейшей фрагментации и в эксперименте мы не наблюдаем масс соответствующих 2-nitrobenzene-1-ylium катиону </w:t>
      </w:r>
      <w:r>
        <w:rPr>
          <w:color w:val="auto"/>
        </w:rPr>
        <w:t>(B)</w:t>
      </w:r>
      <w:r>
        <w:rPr/>
        <w:t xml:space="preserve">. </w:t>
      </w:r>
    </w:p>
    <w:p>
      <w:pPr>
        <w:pStyle w:val="Normal"/>
        <w:widowControl/>
        <w:numPr>
          <w:ilvl w:val="0"/>
          <w:numId w:val="2"/>
        </w:numPr>
        <w:suppressAutoHyphens w:val="true"/>
        <w:bidi w:val="0"/>
        <w:spacing w:lineRule="auto" w:line="312" w:before="0" w:after="0"/>
        <w:ind w:left="0" w:right="0" w:firstLine="567"/>
        <w:jc w:val="both"/>
        <w:rPr/>
      </w:pPr>
      <w:r>
        <w:rPr/>
        <w:t xml:space="preserve"> </w:t>
      </w:r>
      <w:r>
        <w:rPr/>
        <w:t>Главной причиной аномального поведения 2-нитробензолдиазоний катиона является крайняя нестабильность образующегося после отщепления  азота 2-nitrobenzene-1-ylium  за счет соседства сильной электроноакцепторной группы NO</w:t>
      </w:r>
      <w:r>
        <w:rPr>
          <w:vertAlign w:val="subscript"/>
        </w:rPr>
        <w:t>2</w:t>
      </w:r>
      <w:r>
        <w:rPr/>
        <w:t xml:space="preserve"> с карбокатионным центром.</w:t>
      </w:r>
    </w:p>
    <w:p>
      <w:pPr>
        <w:pStyle w:val="Normal"/>
        <w:numPr>
          <w:ilvl w:val="0"/>
          <w:numId w:val="2"/>
        </w:numPr>
        <w:rPr>
          <w:sz w:val="12"/>
          <w:szCs w:val="12"/>
        </w:rPr>
      </w:pPr>
      <w:r>
        <w:rPr>
          <w:sz w:val="12"/>
          <w:szCs w:val="12"/>
        </w:rPr>
      </w:r>
    </w:p>
    <w:p>
      <w:pPr>
        <w:pStyle w:val="Style24"/>
        <w:numPr>
          <w:ilvl w:val="0"/>
          <w:numId w:val="2"/>
        </w:numPr>
        <w:spacing w:lineRule="auto" w:line="312" w:before="0" w:after="0"/>
        <w:jc w:val="center"/>
        <w:rPr/>
      </w:pPr>
      <w:r>
        <w:rPr/>
        <w:drawing>
          <wp:inline distT="0" distB="0" distL="0" distR="0">
            <wp:extent cx="5364480" cy="4008120"/>
            <wp:effectExtent l="0" t="0" r="0" b="0"/>
            <wp:docPr id="33"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2" descr=""/>
                    <pic:cNvPicPr>
                      <a:picLocks noChangeAspect="1" noChangeArrowheads="1"/>
                    </pic:cNvPicPr>
                  </pic:nvPicPr>
                  <pic:blipFill>
                    <a:blip r:embed="rId34"/>
                    <a:stretch>
                      <a:fillRect/>
                    </a:stretch>
                  </pic:blipFill>
                  <pic:spPr bwMode="auto">
                    <a:xfrm>
                      <a:off x="0" y="0"/>
                      <a:ext cx="5364480" cy="4008120"/>
                    </a:xfrm>
                    <a:prstGeom prst="rect">
                      <a:avLst/>
                    </a:prstGeom>
                  </pic:spPr>
                </pic:pic>
              </a:graphicData>
            </a:graphic>
          </wp:inline>
        </w:drawing>
      </w:r>
    </w:p>
    <w:p>
      <w:pPr>
        <w:pStyle w:val="Style24"/>
        <w:numPr>
          <w:ilvl w:val="0"/>
          <w:numId w:val="2"/>
        </w:numPr>
        <w:spacing w:lineRule="auto" w:line="312" w:before="0" w:after="0"/>
        <w:jc w:val="center"/>
        <w:rPr/>
      </w:pPr>
      <w:r>
        <w:rPr/>
        <w:drawing>
          <wp:inline distT="0" distB="0" distL="0" distR="0">
            <wp:extent cx="3637280" cy="1160145"/>
            <wp:effectExtent l="0" t="0" r="0" b="0"/>
            <wp:docPr id="3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6" descr=""/>
                    <pic:cNvPicPr>
                      <a:picLocks noChangeAspect="1" noChangeArrowheads="1"/>
                    </pic:cNvPicPr>
                  </pic:nvPicPr>
                  <pic:blipFill>
                    <a:blip r:embed="rId35"/>
                    <a:stretch>
                      <a:fillRect/>
                    </a:stretch>
                  </pic:blipFill>
                  <pic:spPr bwMode="auto">
                    <a:xfrm>
                      <a:off x="0" y="0"/>
                      <a:ext cx="3637280" cy="1160145"/>
                    </a:xfrm>
                    <a:prstGeom prst="rect">
                      <a:avLst/>
                    </a:prstGeom>
                  </pic:spPr>
                </pic:pic>
              </a:graphicData>
            </a:graphic>
          </wp:inline>
        </w:drawing>
      </w:r>
    </w:p>
    <w:p>
      <w:pPr>
        <w:pStyle w:val="Style24"/>
        <w:numPr>
          <w:ilvl w:val="0"/>
          <w:numId w:val="2"/>
        </w:numPr>
        <w:spacing w:lineRule="auto" w:line="312" w:before="0" w:after="0"/>
        <w:jc w:val="center"/>
        <w:rPr/>
      </w:pPr>
      <w:r>
        <w:rPr/>
        <w:t>Рисунок 15. Профиль потенциальной энергии</w:t>
      </w:r>
      <w:r>
        <w:rPr/>
        <w:t xml:space="preserve"> и схема процесса </w:t>
      </w:r>
      <w:r>
        <w:rPr/>
        <w:t xml:space="preserve">отщепления </w:t>
      </w:r>
    </w:p>
    <w:p>
      <w:pPr>
        <w:pStyle w:val="Style24"/>
        <w:numPr>
          <w:ilvl w:val="0"/>
          <w:numId w:val="2"/>
        </w:numPr>
        <w:spacing w:lineRule="auto" w:line="312" w:before="0" w:after="0"/>
        <w:jc w:val="center"/>
        <w:rPr/>
      </w:pPr>
      <w:r>
        <w:rPr/>
        <w:t>оксида азота (NO) при фрагментации 2-нитрофенильного катиона.</w:t>
      </w:r>
    </w:p>
    <w:p>
      <w:pPr>
        <w:pStyle w:val="Style24"/>
        <w:numPr>
          <w:ilvl w:val="0"/>
          <w:numId w:val="2"/>
        </w:numPr>
        <w:spacing w:lineRule="auto" w:line="312" w:before="0" w:after="0"/>
        <w:jc w:val="center"/>
        <w:rPr>
          <w:i/>
          <w:i/>
          <w:iCs/>
          <w:color w:val="0000CC"/>
          <w:highlight w:val="white"/>
          <w:lang w:val="en-US"/>
        </w:rPr>
      </w:pPr>
      <w:r>
        <w:rPr>
          <w:i/>
          <w:iCs/>
          <w:color w:val="0000CC"/>
          <w:highlight w:val="white"/>
          <w:lang w:val="en-US"/>
        </w:rPr>
      </w:r>
    </w:p>
    <w:p>
      <w:pPr>
        <w:pStyle w:val="3"/>
        <w:numPr>
          <w:ilvl w:val="2"/>
          <w:numId w:val="2"/>
        </w:numPr>
        <w:ind w:left="0" w:right="0" w:firstLine="567"/>
        <w:rPr>
          <w:lang w:val="en-US"/>
        </w:rPr>
      </w:pPr>
      <w:bookmarkStart w:id="14" w:name="__RefHeading___Toc11494_1966729274"/>
      <w:bookmarkEnd w:id="14"/>
      <w:r>
        <w:rPr>
          <w:lang w:val="en-US"/>
        </w:rPr>
        <w:t>4. Conclusions</w:t>
      </w:r>
    </w:p>
    <w:p>
      <w:pPr>
        <w:pStyle w:val="Normal"/>
        <w:numPr>
          <w:ilvl w:val="2"/>
          <w:numId w:val="2"/>
        </w:numPr>
        <w:tabs>
          <w:tab w:val="left" w:pos="563" w:leader="none"/>
        </w:tabs>
        <w:ind w:left="0" w:right="0" w:firstLine="567"/>
        <w:rPr/>
      </w:pPr>
      <w:r>
        <w:rPr/>
        <w:t xml:space="preserve">При исследовании мы выявили следующие закономерности. </w:t>
      </w:r>
    </w:p>
    <w:p>
      <w:pPr>
        <w:pStyle w:val="Normal"/>
        <w:numPr>
          <w:ilvl w:val="2"/>
          <w:numId w:val="2"/>
        </w:numPr>
        <w:tabs>
          <w:tab w:val="left" w:pos="563" w:leader="none"/>
        </w:tabs>
        <w:ind w:left="0" w:right="0" w:firstLine="567"/>
        <w:rPr/>
      </w:pPr>
      <w:r>
        <w:rPr/>
        <w:t xml:space="preserve">Первой стадией фрагментации является процесс отщепления молекулярного азота и образование арильных катионов, что согласуется с литературными данными. Диазониевые катионы характеризуются невысокими значениями энергии отщепления азота в диапазоне 82-116 кДж/моль. </w:t>
      </w:r>
    </w:p>
    <w:p>
      <w:pPr>
        <w:pStyle w:val="Normal"/>
        <w:numPr>
          <w:ilvl w:val="2"/>
          <w:numId w:val="2"/>
        </w:numPr>
        <w:tabs>
          <w:tab w:val="left" w:pos="563" w:leader="none"/>
        </w:tabs>
        <w:ind w:left="0" w:right="0" w:firstLine="567"/>
        <w:rPr/>
      </w:pPr>
      <w:r>
        <w:rPr/>
        <w:t>Кроме того, в условиях электроспрея при отщеплении трифлатной кислоты от кластерных ионов происходят процессы образования интермедиатов и соединений бензинового ряда, способных вступать в реакции азосочетания и полимеризации, соответствующие продукты  мы наблюдали в эксперименте.</w:t>
      </w:r>
    </w:p>
    <w:p>
      <w:pPr>
        <w:pStyle w:val="Normal"/>
        <w:numPr>
          <w:ilvl w:val="2"/>
          <w:numId w:val="2"/>
        </w:numPr>
        <w:tabs>
          <w:tab w:val="left" w:pos="563" w:leader="none"/>
        </w:tabs>
        <w:ind w:left="0" w:right="0" w:firstLine="567"/>
        <w:rPr/>
      </w:pPr>
      <w:r>
        <w:rPr/>
        <w:t xml:space="preserve">Образование кластерных ионов обусловлено высокой энергией взаимодействия катион-анион. Природа связей - ионная и водородная. </w:t>
      </w:r>
      <w:r>
        <w:rPr>
          <w:highlight w:val="yellow"/>
        </w:rPr>
        <w:t>Диазониевая группа, как сильнейший электрон-акцептор, активирует водород в альфа-положении бензольного кольца, что способствует его взаимодействию анионом с образованием водородной связи.</w:t>
      </w:r>
      <w:r>
        <w:rPr/>
        <w:t xml:space="preserve"> </w:t>
      </w:r>
      <w:r>
        <w:rPr>
          <w:highlight w:val="yellow"/>
        </w:rPr>
        <w:t>Вследствие высокой энергии взаимодействия катиона с анионом при фрагментации в первую очередь происходит отщепление катиона от кластера, что объясняет отсутствие в спектре MS2  заряженных частиц с массами промежуточными между массой кластера и диазониевого катиона, в том числе линий соответствующих потере азота кластерной частицей.</w:t>
      </w:r>
    </w:p>
    <w:p>
      <w:pPr>
        <w:pStyle w:val="Normal"/>
        <w:numPr>
          <w:ilvl w:val="2"/>
          <w:numId w:val="2"/>
        </w:numPr>
        <w:tabs>
          <w:tab w:val="left" w:pos="563" w:leader="none"/>
        </w:tabs>
        <w:ind w:left="0" w:right="0" w:firstLine="567"/>
        <w:rPr/>
      </w:pPr>
      <w:r>
        <w:rPr/>
        <w:t>Прочность арендиазониевых катионов в составе трифлатных и тозилатных кластеров в эксперименте выше чем в случае тетрафторборатных анионов. Наблюдается меньшее количество продуктов распада 4-нитрофенилдиазония в присутствии сульфонат ионов. Это связано с хелатным эффектом и удержанием азота за счет взаимодействия с арильным катионом и трифлатом.</w:t>
      </w:r>
    </w:p>
    <w:p>
      <w:pPr>
        <w:pStyle w:val="Normal"/>
        <w:numPr>
          <w:ilvl w:val="2"/>
          <w:numId w:val="2"/>
        </w:numPr>
        <w:tabs>
          <w:tab w:val="left" w:pos="563" w:leader="none"/>
        </w:tabs>
        <w:ind w:left="0" w:right="0" w:firstLine="567"/>
        <w:rPr/>
      </w:pPr>
      <w:r>
        <w:rPr/>
        <w:t xml:space="preserve">Особенностью фрагментации 2-нитрофенилдиазония является отсутствие массы соответствующей о-нитрофенильному катиону. Сканирование поверхности потенциальной энергии показало, что происходит перегруппировка и последующий распад с отщеплением NO. </w:t>
      </w:r>
      <w:r>
        <w:rPr>
          <w:highlight w:val="yellow"/>
        </w:rPr>
        <w:t>На энергетической диаграмме отщепления окиси азота наблюдаются резонансные структуры с раскрытием бензольного кольца.</w:t>
      </w:r>
    </w:p>
    <w:p>
      <w:pPr>
        <w:pStyle w:val="Normal"/>
        <w:numPr>
          <w:ilvl w:val="2"/>
          <w:numId w:val="2"/>
        </w:numPr>
        <w:tabs>
          <w:tab w:val="left" w:pos="563" w:leader="none"/>
        </w:tabs>
        <w:ind w:left="0" w:right="0" w:firstLine="567"/>
        <w:rPr/>
      </w:pPr>
      <w:r>
        <w:rPr>
          <w:highlight w:val="yellow"/>
        </w:rPr>
        <w:t>Это исследование может быть важным для развития новых препаративных методов синтеза с применением электроспрея [1p-4p].</w:t>
      </w:r>
      <w:r>
        <w:rPr/>
        <w:t xml:space="preserve"> Наличие динамического равновесия при распаде диазониевых катионов позволяет проводить процессы в вакууме и атмосфере азота, которые являются идеальной диэлектрической средой. В нашей работе мы наблюдали процессы синтеза, реакции азосочетания и полимеризации с образованием углерод-углеродной связи. </w:t>
      </w:r>
      <w:r>
        <w:rPr>
          <w:highlight w:val="yellow"/>
        </w:rPr>
        <w:t>Использование метода ионизации электроспреем открывает новые технологические возможности для GreenChemistry в целом, модификации поверхностей, проведения уникальных реакций и осуществление синтезов с участием диазониевых частиц в вакууме или газовой фазе.</w:t>
      </w:r>
    </w:p>
    <w:p>
      <w:pPr>
        <w:pStyle w:val="3"/>
        <w:numPr>
          <w:ilvl w:val="2"/>
          <w:numId w:val="2"/>
        </w:numPr>
        <w:ind w:left="0" w:right="0" w:firstLine="567"/>
        <w:rPr>
          <w:color w:val="000000"/>
          <w:lang w:val="en-US"/>
        </w:rPr>
      </w:pPr>
      <w:bookmarkStart w:id="15" w:name="__RefHeading___Toc11496_1966729274"/>
      <w:bookmarkEnd w:id="15"/>
      <w:r>
        <w:rPr>
          <w:color w:val="000000"/>
          <w:lang w:val="en-US"/>
        </w:rPr>
        <w:t>References</w:t>
      </w:r>
    </w:p>
    <w:p>
      <w:pPr>
        <w:pStyle w:val="ListParagraph"/>
        <w:numPr>
          <w:ilvl w:val="0"/>
          <w:numId w:val="2"/>
        </w:numPr>
        <w:rPr/>
      </w:pPr>
      <w:r>
        <w:rPr>
          <w:rFonts w:cs="Times New Roman" w:ascii="Times New Roman" w:hAnsi="Times New Roman"/>
          <w:color w:val="006600"/>
          <w:lang w:val="en-US"/>
        </w:rPr>
        <w:t xml:space="preserve">1. (a) Zollinger, H. </w:t>
      </w:r>
      <w:r>
        <w:rPr>
          <w:rFonts w:cs="Times New Roman" w:ascii="Times New Roman" w:hAnsi="Times New Roman"/>
          <w:i/>
          <w:color w:val="006600"/>
          <w:lang w:val="en-US"/>
        </w:rPr>
        <w:t>Diazo Chemistry I: Aromatic and Heteroaromatic Compounds</w:t>
      </w:r>
      <w:r>
        <w:rPr>
          <w:rFonts w:cs="Times New Roman" w:ascii="Times New Roman" w:hAnsi="Times New Roman"/>
          <w:color w:val="006600"/>
          <w:lang w:val="en-US"/>
        </w:rPr>
        <w:t xml:space="preserve">; VCH, Weinheim, </w:t>
      </w:r>
      <w:r>
        <w:rPr>
          <w:rFonts w:cs="Times New Roman" w:ascii="Times New Roman" w:hAnsi="Times New Roman"/>
          <w:b/>
          <w:color w:val="006600"/>
          <w:lang w:val="en-US"/>
        </w:rPr>
        <w:t>1994</w:t>
      </w:r>
      <w:r>
        <w:rPr>
          <w:rFonts w:cs="Times New Roman" w:ascii="Times New Roman" w:hAnsi="Times New Roman"/>
          <w:color w:val="006600"/>
          <w:lang w:val="en-US"/>
        </w:rPr>
        <w:t xml:space="preserve">. (b) Roglands, A.; Pla-Quintana, A.; Moreno-Manas M. </w:t>
      </w:r>
      <w:r>
        <w:rPr>
          <w:rFonts w:cs="Times New Roman" w:ascii="Times New Roman" w:hAnsi="Times New Roman"/>
          <w:i/>
          <w:color w:val="006600"/>
          <w:lang w:val="en-US"/>
        </w:rPr>
        <w:t>Chem. Rev</w:t>
      </w:r>
      <w:r>
        <w:rPr>
          <w:rFonts w:cs="Times New Roman" w:ascii="Times New Roman" w:hAnsi="Times New Roman"/>
          <w:color w:val="006600"/>
          <w:lang w:val="en-US"/>
        </w:rPr>
        <w:t xml:space="preserve">. </w:t>
      </w:r>
      <w:r>
        <w:rPr>
          <w:rFonts w:cs="Times New Roman" w:ascii="Times New Roman" w:hAnsi="Times New Roman"/>
          <w:b/>
          <w:color w:val="006600"/>
          <w:lang w:val="en-US"/>
        </w:rPr>
        <w:t>2006</w:t>
      </w:r>
      <w:r>
        <w:rPr>
          <w:rFonts w:cs="Times New Roman" w:ascii="Times New Roman" w:hAnsi="Times New Roman"/>
          <w:color w:val="006600"/>
          <w:lang w:val="en-US"/>
        </w:rPr>
        <w:t xml:space="preserve">, </w:t>
      </w:r>
      <w:r>
        <w:rPr>
          <w:rFonts w:cs="Times New Roman" w:ascii="Times New Roman" w:hAnsi="Times New Roman"/>
          <w:i/>
          <w:color w:val="006600"/>
          <w:lang w:val="en-US"/>
        </w:rPr>
        <w:t>106</w:t>
      </w:r>
      <w:r>
        <w:rPr>
          <w:rFonts w:cs="Times New Roman" w:ascii="Times New Roman" w:hAnsi="Times New Roman"/>
          <w:color w:val="006600"/>
          <w:lang w:val="en-US"/>
        </w:rPr>
        <w:t xml:space="preserve">, 4622. (c) Bonin H.; Fouquet, E.; Felpin, F.-X. </w:t>
      </w:r>
      <w:r>
        <w:rPr>
          <w:rFonts w:cs="Times New Roman" w:ascii="Times New Roman" w:hAnsi="Times New Roman"/>
          <w:i/>
          <w:color w:val="006600"/>
          <w:lang w:val="en-US"/>
        </w:rPr>
        <w:t>Adv. Synth. Catal</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353</w:t>
      </w:r>
      <w:r>
        <w:rPr>
          <w:rFonts w:cs="Times New Roman" w:ascii="Times New Roman" w:hAnsi="Times New Roman"/>
          <w:color w:val="006600"/>
          <w:lang w:val="en-US"/>
        </w:rPr>
        <w:t xml:space="preserve">, 3063. (d) Mo, F.; Dong, G.; Zhang, Y.; Wang, </w:t>
      </w:r>
      <w:r>
        <w:rPr>
          <w:rFonts w:cs="Times New Roman" w:ascii="Times New Roman" w:hAnsi="Times New Roman"/>
          <w:i/>
          <w:color w:val="006600"/>
          <w:lang w:val="en-US"/>
        </w:rPr>
        <w:t>J. Org. Biomol. Chem</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11</w:t>
      </w:r>
      <w:r>
        <w:rPr>
          <w:rFonts w:cs="Times New Roman" w:ascii="Times New Roman" w:hAnsi="Times New Roman"/>
          <w:color w:val="006600"/>
          <w:lang w:val="en-US"/>
        </w:rPr>
        <w:t xml:space="preserve">, 1582. (e) Kölmel, D. K.; Jung, N.; Bräse, S. </w:t>
      </w:r>
      <w:r>
        <w:rPr>
          <w:rFonts w:cs="Times New Roman" w:ascii="Times New Roman" w:hAnsi="Times New Roman"/>
          <w:i/>
          <w:color w:val="006600"/>
          <w:lang w:val="en-US"/>
        </w:rPr>
        <w:t>Aust. J. Chem</w:t>
      </w:r>
      <w:r>
        <w:rPr>
          <w:rFonts w:cs="Times New Roman" w:ascii="Times New Roman" w:hAnsi="Times New Roman"/>
          <w:color w:val="006600"/>
          <w:lang w:val="en-US"/>
        </w:rPr>
        <w:t xml:space="preserve">. </w:t>
      </w:r>
      <w:r>
        <w:rPr>
          <w:rFonts w:cs="Times New Roman" w:ascii="Times New Roman" w:hAnsi="Times New Roman"/>
          <w:b/>
          <w:color w:val="006600"/>
          <w:lang w:val="en-US"/>
        </w:rPr>
        <w:t>2014</w:t>
      </w:r>
      <w:r>
        <w:rPr>
          <w:rFonts w:cs="Times New Roman" w:ascii="Times New Roman" w:hAnsi="Times New Roman"/>
          <w:color w:val="006600"/>
          <w:lang w:val="en-US"/>
        </w:rPr>
        <w:t xml:space="preserve">, </w:t>
      </w:r>
      <w:r>
        <w:rPr>
          <w:rFonts w:cs="Times New Roman" w:ascii="Times New Roman" w:hAnsi="Times New Roman"/>
          <w:i/>
          <w:color w:val="006600"/>
          <w:lang w:val="en-US"/>
        </w:rPr>
        <w:t>67</w:t>
      </w:r>
      <w:r>
        <w:rPr>
          <w:rFonts w:cs="Times New Roman" w:ascii="Times New Roman" w:hAnsi="Times New Roman"/>
          <w:color w:val="006600"/>
          <w:lang w:val="en-US"/>
        </w:rPr>
        <w:t xml:space="preserve">, 328. (f) Deadman, B. J.; Collins, S.G.; Maguire, A. R. </w:t>
      </w:r>
      <w:r>
        <w:rPr>
          <w:rFonts w:cs="Times New Roman" w:ascii="Times New Roman" w:hAnsi="Times New Roman"/>
          <w:i/>
          <w:color w:val="006600"/>
          <w:lang w:val="en-US"/>
        </w:rPr>
        <w:t>Chem. Eur. J.</w:t>
      </w:r>
      <w:r>
        <w:rPr>
          <w:rFonts w:cs="Times New Roman" w:ascii="Times New Roman" w:hAnsi="Times New Roman"/>
          <w:color w:val="006600"/>
          <w:lang w:val="en-US"/>
        </w:rPr>
        <w:t xml:space="preserve"> </w:t>
      </w:r>
      <w:r>
        <w:rPr>
          <w:rFonts w:cs="Times New Roman" w:ascii="Times New Roman" w:hAnsi="Times New Roman"/>
          <w:b/>
          <w:color w:val="006600"/>
          <w:lang w:val="en-US"/>
        </w:rPr>
        <w:t>2015</w:t>
      </w:r>
      <w:r>
        <w:rPr>
          <w:rFonts w:cs="Times New Roman" w:ascii="Times New Roman" w:hAnsi="Times New Roman"/>
          <w:color w:val="006600"/>
          <w:lang w:val="en-US"/>
        </w:rPr>
        <w:t xml:space="preserve">, </w:t>
      </w:r>
      <w:r>
        <w:rPr>
          <w:rFonts w:cs="Times New Roman" w:ascii="Times New Roman" w:hAnsi="Times New Roman"/>
          <w:i/>
          <w:color w:val="006600"/>
          <w:lang w:val="en-US"/>
        </w:rPr>
        <w:t>21</w:t>
      </w:r>
      <w:r>
        <w:rPr>
          <w:rFonts w:cs="Times New Roman" w:ascii="Times New Roman" w:hAnsi="Times New Roman"/>
          <w:color w:val="006600"/>
          <w:lang w:val="en-US"/>
        </w:rPr>
        <w:t>, 2298.</w:t>
      </w:r>
    </w:p>
    <w:p>
      <w:pPr>
        <w:pStyle w:val="Style24"/>
        <w:numPr>
          <w:ilvl w:val="0"/>
          <w:numId w:val="2"/>
        </w:numPr>
        <w:rPr/>
      </w:pPr>
      <w:r>
        <w:rPr>
          <w:rFonts w:cs="Times New Roman" w:ascii="Times New Roman" w:hAnsi="Times New Roman"/>
          <w:color w:val="006600"/>
          <w:lang w:val="en-US"/>
        </w:rPr>
        <w:t xml:space="preserve">2. Mahouche-Chergui, S.; Gam-Derouich, S.; Manganey, C.; Chehimi, M. M. </w:t>
      </w:r>
      <w:r>
        <w:rPr>
          <w:rFonts w:cs="Times New Roman" w:ascii="Times New Roman" w:hAnsi="Times New Roman"/>
          <w:i/>
          <w:color w:val="006600"/>
          <w:lang w:val="en-US"/>
        </w:rPr>
        <w:t>Chem. Soc. Rev.</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40</w:t>
      </w:r>
      <w:r>
        <w:rPr>
          <w:rFonts w:cs="Times New Roman" w:ascii="Times New Roman" w:hAnsi="Times New Roman"/>
          <w:color w:val="006600"/>
          <w:lang w:val="en-US"/>
        </w:rPr>
        <w:t>, 4143.</w:t>
      </w:r>
    </w:p>
    <w:p>
      <w:pPr>
        <w:pStyle w:val="Style24"/>
        <w:numPr>
          <w:ilvl w:val="0"/>
          <w:numId w:val="2"/>
        </w:numPr>
        <w:rPr/>
      </w:pPr>
      <w:r>
        <w:rPr>
          <w:rFonts w:cs="Times New Roman" w:ascii="Times New Roman" w:hAnsi="Times New Roman"/>
          <w:color w:val="006600"/>
        </w:rPr>
        <w:t xml:space="preserve">3. </w:t>
      </w:r>
      <w:r>
        <w:rPr>
          <w:rFonts w:eastAsia="Times New Roman" w:cs="Times New Roman" w:ascii="Times New Roman" w:hAnsi="Times New Roman"/>
          <w:color w:val="006600"/>
          <w:lang w:val="en-US" w:eastAsia="ru-RU"/>
        </w:rPr>
        <w:t>Filimonov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D</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Trusova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Postnikov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S</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Krasnokutskaya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Lee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Hwang</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Whan</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Chi</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 xml:space="preserve">Unusually Stable, Versatile, and Pure Arenediazonium Tosylates: their Preparation, Structures, and Synthetic Applicability. </w:t>
      </w:r>
      <w:r>
        <w:rPr>
          <w:rFonts w:eastAsia="Times New Roman" w:cs="Times New Roman" w:ascii="Times New Roman" w:hAnsi="Times New Roman"/>
          <w:i/>
          <w:color w:val="006600"/>
          <w:lang w:val="en-US" w:eastAsia="ru-RU"/>
        </w:rPr>
        <w:t>Org. Lett.</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b/>
          <w:color w:val="006600"/>
          <w:lang w:val="en-US" w:eastAsia="ru-RU"/>
        </w:rPr>
        <w:t>2008</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i/>
          <w:color w:val="006600"/>
          <w:lang w:val="en-US" w:eastAsia="ru-RU"/>
        </w:rPr>
        <w:t>10</w:t>
      </w:r>
      <w:r>
        <w:rPr>
          <w:rFonts w:eastAsia="Times New Roman" w:cs="Times New Roman" w:ascii="Times New Roman" w:hAnsi="Times New Roman"/>
          <w:color w:val="006600"/>
          <w:lang w:val="en-US" w:eastAsia="ru-RU"/>
        </w:rPr>
        <w:t>, 3961-3964</w:t>
      </w:r>
    </w:p>
    <w:p>
      <w:pPr>
        <w:pStyle w:val="Style24"/>
        <w:numPr>
          <w:ilvl w:val="0"/>
          <w:numId w:val="2"/>
        </w:numPr>
        <w:rPr/>
      </w:pPr>
      <w:r>
        <w:rPr>
          <w:rFonts w:eastAsia="Times New Roman" w:cs="Times New Roman" w:ascii="Times New Roman" w:hAnsi="Times New Roman"/>
          <w:color w:val="006600"/>
          <w:lang w:val="en-US" w:eastAsia="ru-RU"/>
        </w:rPr>
        <w:t xml:space="preserve">4. </w:t>
      </w:r>
      <w:r>
        <w:rPr>
          <w:rFonts w:cs="Times New Roman" w:ascii="Times New Roman" w:hAnsi="Times New Roman"/>
          <w:color w:val="006600"/>
          <w:lang w:val="en-US"/>
        </w:rPr>
        <w:t xml:space="preserve">(a) Krasnokutskaya E.A., Semenischeva N.I., Filimonov V.D., Knochel P. </w:t>
      </w:r>
      <w:r>
        <w:rPr>
          <w:rFonts w:cs="Times New Roman" w:ascii="Times New Roman" w:hAnsi="Times New Roman"/>
          <w:i/>
          <w:color w:val="006600"/>
          <w:lang w:val="en-US"/>
        </w:rPr>
        <w:t>Synthesis</w:t>
      </w:r>
      <w:r>
        <w:rPr>
          <w:rFonts w:cs="Times New Roman" w:ascii="Times New Roman" w:hAnsi="Times New Roman"/>
          <w:color w:val="006600"/>
          <w:lang w:val="en-US"/>
        </w:rPr>
        <w:t xml:space="preserve">, </w:t>
      </w:r>
      <w:r>
        <w:rPr>
          <w:rFonts w:cs="Times New Roman" w:ascii="Times New Roman" w:hAnsi="Times New Roman"/>
          <w:b/>
          <w:color w:val="006600"/>
          <w:lang w:val="en-US"/>
        </w:rPr>
        <w:t>2007</w:t>
      </w:r>
      <w:r>
        <w:rPr>
          <w:rFonts w:cs="Times New Roman" w:ascii="Times New Roman" w:hAnsi="Times New Roman"/>
          <w:color w:val="006600"/>
          <w:lang w:val="en-US"/>
        </w:rPr>
        <w:t xml:space="preserve">, 81 (b) Gorlushko D.A., Filimonov V.D., Krasnokutskaya E.A., Semenischeva N.I., Go B.S., Hwang H.Y.,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2008</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xml:space="preserve">, 1080 (c) Moon M.E., Choi Y., Lee Y.M., Vajpayee V., Trusova M.E., Filimonov V.D.,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51</w:t>
      </w:r>
      <w:r>
        <w:rPr>
          <w:rFonts w:cs="Times New Roman" w:ascii="Times New Roman" w:hAnsi="Times New Roman"/>
          <w:color w:val="006600"/>
          <w:lang w:val="en-US"/>
        </w:rPr>
        <w:t xml:space="preserve">, 6769. (d) Lee Y.M., Moon M.E., Vajpayee V., Filimonov V.D., Chi K.-W. </w:t>
      </w:r>
      <w:r>
        <w:rPr>
          <w:rFonts w:cs="Times New Roman" w:ascii="Times New Roman" w:hAnsi="Times New Roman"/>
          <w:i/>
          <w:color w:val="006600"/>
          <w:lang w:val="en-US"/>
        </w:rPr>
        <w:t>Tetrahedron</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66</w:t>
      </w:r>
      <w:r>
        <w:rPr>
          <w:rFonts w:cs="Times New Roman" w:ascii="Times New Roman" w:hAnsi="Times New Roman"/>
          <w:color w:val="006600"/>
          <w:lang w:val="en-US"/>
        </w:rPr>
        <w:t>, 7418. (e) Trusova M.E., Krasnokutskaya E.A. Postnikov, P.S., Choi Y.; Chi, K-W., Filimonov V.D.</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2011</w:t>
      </w:r>
      <w:r>
        <w:rPr>
          <w:rFonts w:cs="Times New Roman" w:ascii="Times New Roman" w:hAnsi="Times New Roman"/>
          <w:bCs/>
          <w:color w:val="006600"/>
          <w:lang w:val="en-US"/>
        </w:rPr>
        <w:t xml:space="preserve">, 2154. (f) Riss, P. J.; Kuschel, S.; Aigbirhio, F. I. Tetrahedron Lett. 2012, 53, 1717; (g) Kutonova, K.V.; Trusova, M.E.; Postnikov, P.S.; Filimonov, V.D.; Parello, J.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2013</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45</w:t>
      </w:r>
      <w:r>
        <w:rPr>
          <w:rFonts w:cs="Times New Roman" w:ascii="Times New Roman" w:hAnsi="Times New Roman"/>
          <w:bCs/>
          <w:color w:val="006600"/>
          <w:lang w:val="en-US"/>
        </w:rPr>
        <w:t>, 2706.</w:t>
      </w:r>
    </w:p>
    <w:p>
      <w:pPr>
        <w:pStyle w:val="Style24"/>
        <w:numPr>
          <w:ilvl w:val="0"/>
          <w:numId w:val="2"/>
        </w:numPr>
        <w:rPr/>
      </w:pPr>
      <w:r>
        <w:rPr>
          <w:color w:val="006600"/>
          <w:lang w:val="en-US"/>
        </w:rPr>
        <w:t xml:space="preserve">5. </w:t>
      </w:r>
      <w:r>
        <w:rPr>
          <w:rFonts w:cs="Times New Roman" w:ascii="Times New Roman" w:hAnsi="Times New Roman"/>
          <w:color w:val="006600"/>
          <w:lang w:val="en-US"/>
        </w:rPr>
        <w:t xml:space="preserve">(a) Velikorodov, A. V.; Ionova, V. A.; Temirbulatova, S. I.; Suvorova, M. A. Rus. J. Org. Chem. 2013, 49, 1004. (b) Tang, Z. Y.; Zhang, Y.; Wang, T.; Wang, W. Synlett. 2010, 804. (c) Chaturbhuj, G. U.; Akamanchi, K. C. Tetrahedron Lett. 2011, 52, 4950. (d) Vajpayee, V.; Song, Y. H.; Ahn, J. S.; Chi, K.-W. Bull. Korean Chem. Soc. 2011, 32, 2970. (e) Postnikov, P. S.; Trusova, M. E.; Fedushchak, T. A.; Uimin, M. A.; Ermakov, A. E.; Filimonov, V. D. </w:t>
      </w:r>
      <w:r>
        <w:rPr>
          <w:rFonts w:cs="Times New Roman" w:ascii="Times New Roman" w:hAnsi="Times New Roman"/>
          <w:i/>
          <w:color w:val="006600"/>
          <w:lang w:val="en-US"/>
        </w:rPr>
        <w:t>Nanotechnologies in Russia</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w:t>
      </w:r>
      <w:r>
        <w:rPr>
          <w:rFonts w:cs="Times New Roman" w:ascii="Times New Roman" w:hAnsi="Times New Roman"/>
          <w:color w:val="006600"/>
          <w:lang w:val="en-US"/>
        </w:rPr>
        <w:t xml:space="preserve">, 446. (f) Min, M.; Seo, S.; Lee, J.; Lee, S. M.; Hwang, E.; Lee, H. </w:t>
      </w:r>
      <w:r>
        <w:rPr>
          <w:rFonts w:cs="Times New Roman" w:ascii="Times New Roman" w:hAnsi="Times New Roman"/>
          <w:i/>
          <w:color w:val="006600"/>
          <w:lang w:val="en-US"/>
        </w:rPr>
        <w:t>Chem. Commun</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6289</w:t>
      </w:r>
    </w:p>
    <w:p>
      <w:pPr>
        <w:pStyle w:val="Style24"/>
        <w:numPr>
          <w:ilvl w:val="0"/>
          <w:numId w:val="2"/>
        </w:numPr>
        <w:rPr/>
      </w:pPr>
      <w:r>
        <w:rPr>
          <w:rFonts w:cs="Times New Roman" w:ascii="Times New Roman" w:hAnsi="Times New Roman"/>
          <w:color w:val="006600"/>
          <w:lang w:val="en-US"/>
        </w:rPr>
        <w:t xml:space="preserve">6. (a) S.K. Dhingra, P. Nag, R. Saxena, Synthesis of Fluoro-Aromatics by Balz-Schiemann Reaction –A Greener Approach, Chem Sci Trans., 2015, 4(4), 1149-1155, (b) K. Al-saadie, I.M. Al-Mousawi, N.Abdul karime, National Journal of Chemistry, Volume 25, (2007) 195-205, (c) N. Kamigata, M. Kobayashi, H. Minato, Cationic Arylation. V. Reaction of Substituted Benzenes with p-Nitrophenyl Cation», Bulletin of the chemical society of Japan, vol. 45, 2047-2050 (1972), (d) Zhang, Y.; Tu, G.; Cao, W. Inclusion Complexation of Diphenylamine-4-diazonium </w:t>
      </w:r>
      <w:r>
        <w:rPr>
          <w:color w:val="006600"/>
          <w:lang w:val="en-US"/>
        </w:rPr>
        <w:t>Chloride and p-Sulfonatocalix[4]arene</w:t>
      </w:r>
      <w:r>
        <w:rPr>
          <w:rFonts w:cs="Times New Roman" w:ascii="Times New Roman" w:hAnsi="Times New Roman"/>
          <w:color w:val="006600"/>
          <w:lang w:val="en-US"/>
        </w:rPr>
        <w:t xml:space="preserve">. Supramolec. Chem. </w:t>
      </w:r>
      <w:r>
        <w:rPr>
          <w:rFonts w:cs="Times New Roman" w:ascii="Times New Roman" w:hAnsi="Times New Roman"/>
          <w:color w:val="006600"/>
        </w:rPr>
        <w:t>2002, 14, 473-475.</w:t>
      </w:r>
    </w:p>
    <w:p>
      <w:pPr>
        <w:pStyle w:val="Style24"/>
        <w:ind w:left="454" w:right="0" w:hanging="454"/>
        <w:rPr>
          <w:color w:val="006600"/>
          <w:lang w:val="en-US"/>
        </w:rPr>
      </w:pPr>
      <w:r>
        <w:rPr>
          <w:color w:val="006600"/>
          <w:lang w:val="en-US"/>
        </w:rPr>
        <w:t>7. (a) Jinyu Chen, Chao Zhao, Renxiang Wang, Shuguang Cao, Weixiao Cao, Photochemical and thermal decomposition of diphenylamine diazonium salts, Journal of Photochemistry and Photobiology A: Chemistry 125 (1999) 73-78, (b) M. Tsuda and S. Oikawa, Photochemical proton generation mechanism from onium salts, Journal of Photopolymer Science and Technology. Volume 3, Number 3 (1990) 249 – 258</w:t>
      </w:r>
    </w:p>
    <w:p>
      <w:pPr>
        <w:pStyle w:val="Style24"/>
        <w:ind w:left="454" w:right="0" w:hanging="454"/>
        <w:rPr>
          <w:color w:val="006600"/>
          <w:lang w:val="en-US"/>
        </w:rPr>
      </w:pPr>
      <w:r>
        <w:rPr>
          <w:color w:val="006600"/>
          <w:lang w:val="en-US"/>
        </w:rPr>
        <w:t>8. (a) R. Ullrich, Th. Grewer, Decomposition of aromatic diazonium compounds, Thermochimica Acta, 225 (1993) 201-211, (b) L.L. Brown, J.S. Drury, Nitrogen Isotope Effects in the Decomposition of Diazonium Salts, The Journal of Chemical Physics, Vol. 43, Number 5, 1 September 1965, (c) P.D. Storey, Calorimetric Studies of The Thermal Explosion Properties of Aromatic Diazonium Salts, Institution. Chem. Eng. Symposium Series 1981, No. 68. P. 1-3. P. 9</w:t>
      </w:r>
    </w:p>
    <w:p>
      <w:pPr>
        <w:pStyle w:val="Style24"/>
        <w:ind w:left="454" w:right="0" w:hanging="454"/>
        <w:rPr/>
      </w:pPr>
      <w:r>
        <w:rPr>
          <w:lang w:val="en-US"/>
        </w:rPr>
        <w:t xml:space="preserve">1s. V. Filimonov, E. Krasnokutskaya, A. Kassanova, V. Fedorova, K. Stankevich, N. Naumov, A. Bondarev, V. Kataeva. Synthesis, structure, and synthetic potential of arenediazonium trifluoromethanesulfonates as stable and safe diazonium salts.  </w:t>
      </w:r>
      <w:hyperlink r:id="rId36">
        <w:r>
          <w:rPr>
            <w:rStyle w:val="Style13"/>
            <w:color w:val="00000A"/>
            <w:highlight w:val="white"/>
            <w:lang w:val="en-US"/>
          </w:rPr>
          <w:t>https://doi.org/10.1002/ejoc.201800887</w:t>
        </w:r>
      </w:hyperlink>
      <w:r>
        <w:rPr>
          <w:highlight w:val="white"/>
          <w:lang w:val="en-US"/>
        </w:rPr>
        <w:t xml:space="preserve"> </w:t>
      </w:r>
    </w:p>
    <w:p>
      <w:pPr>
        <w:pStyle w:val="Style24"/>
        <w:ind w:left="454" w:right="0" w:hanging="454"/>
        <w:rPr>
          <w:lang w:val="en-US"/>
        </w:rPr>
      </w:pPr>
      <w:r>
        <w:rPr>
          <w:lang w:val="en-US"/>
        </w:rPr>
        <w:t>1n. B.F. Minaev, S.V. Bondarchuk, M.A. Gîrtu, DFT Study of Electronic Properties, Structure and Spectra of Aryl Diazonium Cations, Journal of Molecular Structure: THEOCHEM (2009), doi: 10.1016/j.theochem.2009.02.022</w:t>
      </w:r>
    </w:p>
    <w:p>
      <w:pPr>
        <w:pStyle w:val="Style24"/>
        <w:ind w:left="454" w:right="0" w:hanging="454"/>
        <w:rPr>
          <w:lang w:val="en-US"/>
        </w:rPr>
      </w:pPr>
      <w:r>
        <w:rPr>
          <w:lang w:val="en-US"/>
        </w:rPr>
        <w:t>2n. Alessandra Bianco Prevot, Debora Fabbri, Edmondo Pramauro, Claudio Baiocchi, Claudio Medana. High-performance liquid chromatography coupled to ultraviolet diode array detection and electrospray ionization mass spectrometry for the analysis of intermediates produced in the initial steps of the photocatalytic degradation of sulfonated azo dyes. / J. Chromatogr. A 1202 (2008) 145–154. doi:10.1016/j.chroma.2008.06.038</w:t>
      </w:r>
    </w:p>
    <w:p>
      <w:pPr>
        <w:pStyle w:val="Style24"/>
        <w:ind w:left="454" w:right="0" w:hanging="454"/>
        <w:rPr>
          <w:lang w:val="en-US"/>
        </w:rPr>
      </w:pPr>
      <w:r>
        <w:rPr>
          <w:lang w:val="en-US"/>
        </w:rPr>
        <w:t>3n. M.A. Meetani, S.M. Hisaindee, F. Abdullah, S.S. Ashraf, M.A. Rauf. Liquid chromatography tandem mass spectrometry analysis of photodegradation of a diazo compound: A mechanistic study. / Chemosphere 80 (2010) 422–427. doi:10.1016/j.chemosphere.2010.04.065</w:t>
      </w:r>
    </w:p>
    <w:p>
      <w:pPr>
        <w:pStyle w:val="Style24"/>
        <w:ind w:left="454" w:right="0" w:hanging="454"/>
        <w:rPr>
          <w:lang w:val="en-US"/>
        </w:rPr>
      </w:pPr>
      <w:r>
        <w:rPr>
          <w:lang w:val="en-US"/>
        </w:rPr>
        <w:t>4n. Sergey V. Bondarchuk, Boris F. Minaev. Density functional study of ortho-substituted phenyl cations in polar medium and in the gas phase. / Chemical Physics 389 (2011) 68–74. doi:10.1016/j.chemphys.2011.08.005</w:t>
      </w:r>
    </w:p>
    <w:p>
      <w:pPr>
        <w:pStyle w:val="Style24"/>
        <w:ind w:left="454" w:right="0" w:hanging="454"/>
        <w:rPr>
          <w:lang w:val="en-US"/>
        </w:rPr>
      </w:pPr>
      <w:r>
        <w:rPr>
          <w:lang w:val="en-US"/>
        </w:rPr>
        <w:t>5n. A. T. Lebedev, A. G. Kazaryan, V. A. Bakulev, Yu. M. Shafran, V. S. Fal'ko, V. G. Lukin, and V. S. Petrosyan. Mass-spectrometric study of the cyclization of diazo compounds. 10. 2-Diazomalonic acid amides. Mass spectra of the negative ions. / Chemistry of Heterocyclic Compounds · July 1987</w:t>
      </w:r>
    </w:p>
    <w:p>
      <w:pPr>
        <w:pStyle w:val="Style24"/>
        <w:ind w:left="454" w:right="0" w:hanging="454"/>
        <w:rPr>
          <w:lang w:val="en-US"/>
        </w:rPr>
      </w:pPr>
      <w:r>
        <w:rPr>
          <w:lang w:val="en-US"/>
        </w:rPr>
        <w:t>6n. Ksenia V. Kutonova, Marina E. Trusova, Pavel S. Postnikov, Victor D. Filimonov, Joseph Parello. A Simple and Effective Synthesis of Aryl Azides via Arenediazonium Tosylates. / Synthesis 2013, 45, 2706–2710  DOI: 10.1055/s-0033-1339648</w:t>
      </w:r>
    </w:p>
    <w:p>
      <w:pPr>
        <w:pStyle w:val="Style24"/>
        <w:ind w:left="454" w:right="0" w:hanging="454"/>
        <w:rPr>
          <w:lang w:val="en-US"/>
        </w:rPr>
      </w:pPr>
      <w:r>
        <w:rPr>
          <w:lang w:val="en-US"/>
        </w:rPr>
        <w:t>7n. R. Paul Brint, Dona1 J. Coveney, Fergus L. Lalor. The Origin of the Remarkable Stability of the 1 H-3,5-Dimethylpyrazole-4-diazonium Cation: an X-Ray Crystallographic and MNDO Theoretical Investigation. / J. CHEM. SOC. PERKIN TRANS. II 1985</w:t>
      </w:r>
    </w:p>
    <w:p>
      <w:pPr>
        <w:pStyle w:val="Style24"/>
        <w:ind w:left="454" w:right="0" w:hanging="454"/>
        <w:rPr>
          <w:lang w:val="en-US"/>
        </w:rPr>
      </w:pPr>
      <w:r>
        <w:rPr>
          <w:lang w:val="en-US"/>
        </w:rPr>
        <w:t>8n. J.R. Fulton, V.K. Aggarwal, J.de Vicente. The Use of Tosylhydrazone Salts as a Safe Alternative for Handling Diazo Compounds and Their Applications in Organic Synthesis. / Eur. J. Org. Chem. 2005, 1479–1492 DOI: 10.1002/ejoc.200400700</w:t>
      </w:r>
    </w:p>
    <w:p>
      <w:pPr>
        <w:pStyle w:val="Style24"/>
        <w:ind w:left="454" w:right="0" w:hanging="454"/>
        <w:rPr>
          <w:lang w:val="en-US"/>
        </w:rPr>
      </w:pPr>
      <w:r>
        <w:rPr>
          <w:lang w:val="en-US"/>
        </w:rPr>
        <w:t>9n. S. Banerjee, S. Mazumdar. Electrospray Ionization Mass Spectrometry: A Technique to Access the Information beyond the Molecular Weight of the Analyte / International Journal of Analytical Chemistry Volume 2012, Article ID 282574, 40 pages doi:10.1155/2012/282574</w:t>
      </w:r>
    </w:p>
    <w:p>
      <w:pPr>
        <w:pStyle w:val="Style24"/>
        <w:ind w:left="454" w:right="0" w:hanging="454"/>
        <w:rPr>
          <w:lang w:val="en-US"/>
        </w:rPr>
      </w:pPr>
      <w:r>
        <w:rPr>
          <w:lang w:val="en-US"/>
        </w:rPr>
        <w:t>10n. Minoru Tsuda, Setsuko Oikawa. Photochemical proton generation mechanism from onium salts. / Journal of Photopolymer Science and Technology Volume 3, Number 3 (1990) 249 — 258</w:t>
      </w:r>
    </w:p>
    <w:p>
      <w:pPr>
        <w:pStyle w:val="Style24"/>
        <w:ind w:left="454" w:right="0" w:hanging="454"/>
        <w:rPr>
          <w:lang w:val="en-US"/>
        </w:rPr>
      </w:pPr>
      <w:r>
        <w:rPr>
          <w:lang w:val="en-US"/>
        </w:rPr>
        <w:t>11n. T. J. Kemp, P. Pinot de moira. The photochemistry of aryldiazonium salts: fundamental aspects and applications to reprographic processes. / Rev. Port. Quím., 17, 174 (1975)</w:t>
      </w:r>
    </w:p>
    <w:p>
      <w:pPr>
        <w:pStyle w:val="Style24"/>
        <w:ind w:left="454" w:right="0" w:hanging="454"/>
        <w:rPr/>
      </w:pPr>
      <w:r>
        <w:rPr>
          <w:lang w:val="en-US"/>
        </w:rPr>
        <w:t xml:space="preserve">12n. Shriver, James A.; Flaherty, Daniel P.; and Herr, Cameron C. (2009) "Aryl Ethers from Arenediazonium Tetrafluoroborate Salts: from Neat Reactions to Solvent-mediated Effects," The Journal of the Iowa Academy of Science: JIAS: Vol. 116: No. 1-4 , Article 6. Available at: </w:t>
      </w:r>
      <w:hyperlink r:id="rId37">
        <w:r>
          <w:rPr>
            <w:rStyle w:val="Style13"/>
            <w:color w:val="00000A"/>
            <w:lang w:val="en-US"/>
          </w:rPr>
          <w:t>http://scholarworks.uni.edu/jias/vol116/iss1/6</w:t>
        </w:r>
      </w:hyperlink>
    </w:p>
    <w:p>
      <w:pPr>
        <w:pStyle w:val="Style24"/>
        <w:ind w:left="454" w:right="0" w:hanging="454"/>
        <w:rPr/>
      </w:pPr>
      <w:r>
        <w:rPr>
          <w:lang w:val="en-US"/>
        </w:rPr>
        <w:t xml:space="preserve">13n. Rezaee, Mohammadreza, "Experimental and Ab initio Computational Study of Azobenzene and Several of its Derivatives. " PhD diss., University of Tennessee, 2015.  </w:t>
      </w:r>
      <w:hyperlink r:id="rId38">
        <w:r>
          <w:rPr>
            <w:rStyle w:val="Style13"/>
            <w:color w:val="00000A"/>
            <w:lang w:val="en-US"/>
          </w:rPr>
          <w:t>http://trace.tennessee.edu/utk_graddiss/3518</w:t>
        </w:r>
      </w:hyperlink>
    </w:p>
    <w:p>
      <w:pPr>
        <w:pStyle w:val="Style24"/>
        <w:ind w:left="454" w:right="0" w:hanging="454"/>
        <w:rPr>
          <w:lang w:val="en-US"/>
        </w:rPr>
      </w:pPr>
      <w:r>
        <w:rPr>
          <w:lang w:val="en-US"/>
        </w:rPr>
        <w:t>14n. Omer Khayyam Rasheed. New Directions in the Chemistry of Azo-compounds. A Thesis submitted to The University Manchester for the degree of Master of Philosophy in the Faculty of Engineering and Physical Sciences. 2011</w:t>
      </w:r>
    </w:p>
    <w:p>
      <w:pPr>
        <w:pStyle w:val="Style24"/>
        <w:ind w:left="454" w:right="0" w:hanging="454"/>
        <w:rPr>
          <w:lang w:val="en-US"/>
        </w:rPr>
      </w:pPr>
      <w:r>
        <w:rPr>
          <w:lang w:val="en-US"/>
        </w:rPr>
        <w:t>15n. A.K. Vrkic, R.A.J. O’Hair. Gas phase ion chemistry of para substituted benzene diazonium ions, their salt clusters and their related phenyl cations / International Journal of Mass Spectrometry 218 (2002) 131–160</w:t>
      </w:r>
    </w:p>
    <w:p>
      <w:pPr>
        <w:pStyle w:val="Style24"/>
        <w:ind w:left="454" w:right="0" w:hanging="454"/>
        <w:rPr>
          <w:lang w:val="en-US"/>
        </w:rPr>
      </w:pPr>
      <w:r>
        <w:rPr>
          <w:lang w:val="en-US"/>
        </w:rPr>
        <w:t>16n. Anastasia A. Golosova, Christine M. Papadakis, Rainer Jordan. Chemical functionalization of carbon nanotubes with aryl diazonium salts. / Mater. Res. Soc. Symp. Proc. Vol. 1362 © 2011 Materials Research Society DOI: 10.1557/opl.2011.1141</w:t>
      </w:r>
    </w:p>
    <w:p>
      <w:pPr>
        <w:pStyle w:val="Style24"/>
        <w:ind w:left="454" w:right="0" w:hanging="454"/>
        <w:rPr/>
      </w:pPr>
      <w:r>
        <w:rPr>
          <w:lang w:val="en-US"/>
        </w:rPr>
        <w:t xml:space="preserve">17n. Matjeka, Edward Ray, "Part I: Mass spectrometry of organic azides and diazocompounds; Part II: Transformations of [alpha]-organosilyldiazoacetates; Part III: Solvolysis of 2-ferrocenylcyclopropylcarbinyl esters" (1974). Retrospective Theses and Dissertations. 5154. </w:t>
      </w:r>
      <w:hyperlink r:id="rId39">
        <w:r>
          <w:rPr>
            <w:rStyle w:val="Style13"/>
            <w:color w:val="00000A"/>
            <w:lang w:val="en-US"/>
          </w:rPr>
          <w:t>http://lib.dr.iastate.edu/rtd/5154</w:t>
        </w:r>
      </w:hyperlink>
    </w:p>
    <w:p>
      <w:pPr>
        <w:pStyle w:val="Style24"/>
        <w:ind w:left="454" w:right="0" w:hanging="454"/>
        <w:rPr>
          <w:lang w:val="en-US"/>
        </w:rPr>
      </w:pPr>
      <w:r>
        <w:rPr>
          <w:lang w:val="en-US"/>
        </w:rPr>
        <w:t>18n. Bethany I. Taggert, Richard A. J. O’Hair, Uta Wille. Environmental Polymer Degradation: Using the Distonic Radical Ion Approach to Study the Gas-Phase Reactions of Model Polyester Radicals. J. Phys. Chem. A 2017, 121, 5290−5300  DOI: 10.1021/acs.jpca.7b04217</w:t>
      </w:r>
    </w:p>
    <w:p>
      <w:pPr>
        <w:pStyle w:val="Style24"/>
        <w:ind w:left="454" w:right="0" w:hanging="454"/>
        <w:rPr>
          <w:lang w:val="en-US"/>
        </w:rPr>
      </w:pPr>
      <w:r>
        <w:rPr>
          <w:lang w:val="en-US"/>
        </w:rPr>
        <w:t>19n. Tom Waters, Richard A. J. O’Hair. Organic gas phase ion chemistry. / Annu. Rep. Prog. Chem., Sect. B, 2002, 98, 433–501</w:t>
      </w:r>
    </w:p>
    <w:p>
      <w:pPr>
        <w:pStyle w:val="Style24"/>
        <w:ind w:left="454" w:right="0" w:hanging="454"/>
        <w:rPr>
          <w:lang w:val="en-US"/>
        </w:rPr>
      </w:pPr>
      <w:r>
        <w:rPr>
          <w:lang w:val="en-US"/>
        </w:rPr>
        <w:t>20n. [btsj.45.2047.pdf]</w:t>
      </w:r>
    </w:p>
    <w:p>
      <w:pPr>
        <w:pStyle w:val="Style24"/>
        <w:ind w:left="454" w:right="0" w:hanging="454"/>
        <w:rPr>
          <w:lang w:val="en-US"/>
        </w:rPr>
      </w:pPr>
      <w:r>
        <w:rPr>
          <w:lang w:val="en-US"/>
        </w:rPr>
        <w:t>21n. L. L. Brown and J. S. Drury. Nitrogen Isotope Effects in the Decomposition of Diazonium Salts. The Journal of Chemical Physics 43, 1688 (1965); doi: 10.1063/1.1696991</w:t>
      </w:r>
    </w:p>
    <w:p>
      <w:pPr>
        <w:pStyle w:val="Style24"/>
        <w:ind w:left="454" w:right="0" w:hanging="454"/>
        <w:rPr>
          <w:lang w:val="en-US"/>
        </w:rPr>
      </w:pPr>
      <w:r>
        <w:rPr>
          <w:lang w:val="en-US"/>
        </w:rPr>
        <w:t>22n. Trevor J. Broxton, Ray Colton, John C. Traeger. Electrospray Mass Spectral Studies of Aromatic Diazonium Salts and Diazotates. Journal of mass spectrometry, vol. 30, 319-323 (1995).</w:t>
      </w:r>
    </w:p>
    <w:p>
      <w:pPr>
        <w:pStyle w:val="Style24"/>
        <w:ind w:left="454" w:right="0" w:hanging="454"/>
        <w:rPr>
          <w:lang w:val="en-US"/>
        </w:rPr>
      </w:pPr>
      <w:r>
        <w:rPr>
          <w:lang w:val="en-US"/>
        </w:rPr>
        <w:t>23n. Nicole J. Rijs, Gustavo B. Sanvido, George N. Khairallah, Richard A. J. O’Hair. Gas phase synthesis and reactivity of dimethylaurate. / Dalton Trans., 2010, 39, 8655–8662 | 8655 DOI: 10.1039/c0dt00508h</w:t>
      </w:r>
    </w:p>
    <w:p>
      <w:pPr>
        <w:pStyle w:val="Style24"/>
        <w:ind w:left="454" w:right="0" w:hanging="454"/>
        <w:rPr>
          <w:lang w:val="en-US"/>
        </w:rPr>
      </w:pPr>
      <w:r>
        <w:rPr>
          <w:lang w:val="en-US"/>
        </w:rPr>
        <w:t>24n. Aurélie Grondein, Daniel Bélanger. Chemical modification of carbon powders with aminophenyl and aryl-aliphatic amine groups by reduction of in situ generated diazonium cations: Applicability of the grafted powder towards CO 2 capture. / Fuel 90 (2011) 2684–2693  doi:10.1016/j.fuel.2011.03.019</w:t>
      </w:r>
    </w:p>
    <w:p>
      <w:pPr>
        <w:pStyle w:val="Style24"/>
        <w:ind w:left="454" w:right="0" w:hanging="454"/>
        <w:rPr>
          <w:lang w:val="en-US"/>
        </w:rPr>
      </w:pPr>
      <w:r>
        <w:rPr>
          <w:lang w:val="en-US"/>
        </w:rPr>
        <w:t>25n. O. A. Gusel ́nikova, K. V. Kutonova, M. E. Trusova, P. S. Postnikov, V. D. Filimonov. First examples of arenediazonium 4-dodecylbenzenesulfonates: synthesis and characterization. / Russian Chemical Bulletin, International Edition, Vol. 63, No. 1, pp. 289—290, January, 2014</w:t>
      </w:r>
    </w:p>
    <w:p>
      <w:pPr>
        <w:pStyle w:val="Style24"/>
        <w:ind w:left="454" w:right="0" w:hanging="454"/>
        <w:rPr>
          <w:lang w:val="en-US"/>
        </w:rPr>
      </w:pPr>
      <w:r>
        <w:rPr>
          <w:lang w:val="en-US"/>
        </w:rPr>
        <w:t>26n. B. R. Ussing, D. A. Singleton. Isotope Effects, Dynamics, and the Mechanism of Solvolysis of Aryldiazonium Cations in Water // J. AM. CHEM. SOC. 2005, 127, 2888-2899</w:t>
      </w:r>
    </w:p>
    <w:p>
      <w:pPr>
        <w:pStyle w:val="Style24"/>
        <w:ind w:left="454" w:right="0" w:hanging="454"/>
        <w:rPr>
          <w:lang w:val="en-US"/>
        </w:rPr>
      </w:pPr>
      <w:r>
        <w:rPr>
          <w:lang w:val="en-US"/>
        </w:rPr>
        <w:t>27n. Z. Wu, R. Glaser. Ab Initio Study of the SN1Ar and SN2Ar Reactions of Benzenediazonium Ion with Water. On the Conception of “Unimolecular Dediazoniation” in Solvolysis Reactions / J. AM. CHEM. SOC. 2004, 126, 10632-10639</w:t>
      </w:r>
    </w:p>
    <w:p>
      <w:pPr>
        <w:pStyle w:val="Style24"/>
        <w:ind w:left="454" w:right="0" w:hanging="454"/>
        <w:rPr>
          <w:lang w:val="en-US"/>
        </w:rPr>
      </w:pPr>
      <w:r>
        <w:rPr>
          <w:lang w:val="en-US"/>
        </w:rPr>
        <w:t xml:space="preserve">28n. M. N. Weaver, S. Z. Janicki,  P.  A. Petillo. Ab Initio Calculation of Inner-Sphere Reorganization Energies of Arenediazonium Ion Couples. / J. Org. Chem. 2001, 66, 1138-1145  </w:t>
      </w:r>
    </w:p>
    <w:p>
      <w:pPr>
        <w:pStyle w:val="Style24"/>
        <w:ind w:left="454" w:right="0" w:hanging="454"/>
        <w:rPr>
          <w:lang w:val="en-US"/>
        </w:rPr>
      </w:pPr>
      <w:r>
        <w:rPr>
          <w:lang w:val="en-US"/>
        </w:rPr>
        <w:t>29n. K. K. Laali, G. Rasul, G. K. Surya Prakash, G. A. Olah. DFT Study of Substituted and Benzannelated Aryl Cations: Substituent Dependency of Singlet/Triplet Ratio. / J. Org. Chem. 2002, 67, 2913-2918</w:t>
      </w:r>
    </w:p>
    <w:p>
      <w:pPr>
        <w:pStyle w:val="Style24"/>
        <w:ind w:left="454" w:right="0" w:hanging="454"/>
        <w:rPr>
          <w:lang w:val="en-US"/>
        </w:rPr>
      </w:pPr>
      <w:r>
        <w:rPr>
          <w:lang w:val="en-US"/>
        </w:rPr>
        <w:t>30n. E. A. Krasnokutskaya, A. Zh. Kassanova, M. T. Estaeva, V. D. Filimonov. new synthesis of pyridinyl trifluoromethanesulfonates via one-pot diazotization of aminopyridines in the presence of trifluoromethanesulfonic acid. / Tetrahedron Letters 55 (2014) 3771–3773   http://dx.doi.org/10.1016/j.tetlet.2014.05.052</w:t>
      </w:r>
    </w:p>
    <w:p>
      <w:pPr>
        <w:pStyle w:val="Style24"/>
        <w:ind w:left="454" w:right="0" w:hanging="454"/>
        <w:rPr>
          <w:lang w:val="en-US"/>
        </w:rPr>
      </w:pPr>
      <w:r>
        <w:rPr>
          <w:lang w:val="en-US"/>
        </w:rPr>
        <w:t>32n. Hua Mei, Don VanDerveer, D. D. DesMarteau. Synthesis of diazonium (perfluoroalkyl) benzenesulfonylimide zwitterions. / Journal of Fluorine Chemistry 145 (2013) 35–40  http://dx.doi.org/10.1016/j.jfluchem.2012.11.007</w:t>
      </w:r>
    </w:p>
    <w:p>
      <w:pPr>
        <w:pStyle w:val="Style24"/>
        <w:ind w:left="454" w:right="0" w:hanging="454"/>
        <w:rPr>
          <w:lang w:val="en-US"/>
        </w:rPr>
      </w:pPr>
      <w:r>
        <w:rPr>
          <w:lang w:val="en-US"/>
        </w:rPr>
        <w:t>33n. B. F. Minaev , S. V. Bondarchuk, M. A. Gîrtu. DFT study of electronic properties, structure and spectra of aryl diazonium cations. / Journal of Molecular Structure: THEOCHEM 904 (2009) 14–20   doi:10.1016/j.theochem.2009.02.022</w:t>
      </w:r>
    </w:p>
    <w:p>
      <w:pPr>
        <w:pStyle w:val="Style24"/>
        <w:ind w:left="454" w:right="0" w:hanging="454"/>
        <w:rPr>
          <w:lang w:val="en-US"/>
        </w:rPr>
      </w:pPr>
      <w:r>
        <w:rPr>
          <w:lang w:val="en-US"/>
        </w:rPr>
        <w:t xml:space="preserve">34n. A. A. Sabino, A. H. L. Machado, C. R. D. Correia, M. N. Eberlin. Probing the Mechanism of the Heck Reaction with Arene Diazonium Salts by Electrospray Mass and Tandem Mass Spectrometry. / Angew. Chem. Int. Ed. 2004, 43, 2514 –2518   </w:t>
        <w:tab/>
        <w:t>DOI: 10.1002/anie.200353076</w:t>
      </w:r>
    </w:p>
    <w:p>
      <w:pPr>
        <w:pStyle w:val="Style24"/>
        <w:ind w:left="454" w:right="0" w:hanging="454"/>
        <w:rPr>
          <w:lang w:val="en-US"/>
        </w:rPr>
      </w:pPr>
      <w:r>
        <w:rPr>
          <w:lang w:val="en-US"/>
        </w:rPr>
        <w:t>35n. G. Schmelzeisen-Redeker, F. W. Rollgen, H. Wirtz, F. Vogtle. Thermospray Mass Spectrometry of Diazonium and Di-, Tri- and Tetra-quaternary Onium Salts. / ORGANIC MASS SPECTROMETRY, VOL. 20, NO. 12, 1985</w:t>
      </w:r>
    </w:p>
    <w:p>
      <w:pPr>
        <w:pStyle w:val="Style24"/>
        <w:ind w:left="454" w:right="0" w:hanging="454"/>
        <w:rPr/>
      </w:pPr>
      <w:r>
        <w:rPr>
          <w:lang w:val="en-US"/>
        </w:rPr>
        <w:t>36n. M. Cygler, M. Przybylsk, R.M. Elofson. The crystal structure of benzenediazonium tetrafluoroborate,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*BF</w:t>
      </w:r>
      <w:r>
        <w:rPr>
          <w:vertAlign w:val="subscript"/>
          <w:lang w:val="en-US"/>
        </w:rPr>
        <w:t>4</w:t>
      </w:r>
      <w:r>
        <w:rPr>
          <w:vertAlign w:val="superscript"/>
          <w:lang w:val="en-US"/>
        </w:rPr>
        <w:t xml:space="preserve">- </w:t>
      </w:r>
      <w:r>
        <w:rPr>
          <w:lang w:val="en-US"/>
        </w:rPr>
        <w:t>/ CAN. J. CHEM. VOL. 60, 1982</w:t>
      </w:r>
    </w:p>
    <w:p>
      <w:pPr>
        <w:pStyle w:val="Style24"/>
        <w:ind w:left="454" w:right="0" w:hanging="454"/>
        <w:rPr>
          <w:lang w:val="en-US"/>
        </w:rPr>
      </w:pPr>
      <w:r>
        <w:rPr>
          <w:lang w:val="en-US"/>
        </w:rPr>
        <w:t>1p. S. Kwak, J. Yeo, S. Jung, I. Nam. Microdroplet Chemistry: Difference of Organic Reactions between Bulk Solution and Aqueous Microdroplets. / Academ J Polym Sci 1(1): AJOP.MS.ID.555551 (2018)</w:t>
      </w:r>
    </w:p>
    <w:p>
      <w:pPr>
        <w:pStyle w:val="Style24"/>
        <w:ind w:left="454" w:right="0" w:hanging="454"/>
        <w:rPr>
          <w:lang w:val="en-US"/>
        </w:rPr>
      </w:pPr>
      <w:r>
        <w:rPr>
          <w:lang w:val="en-US"/>
        </w:rPr>
        <w:t>2p. C. E. Falcone, Z. Jaman, M. Wleklinski, A. Koswara, D. H. Thompson, R. G. Cooks. Reaction Screening and Optimization of Continuous-Flow Atropine Synthesis by Preparative Electrospray Mass Spectrometry. DOI: 10.1039/C7AN00622E</w:t>
      </w:r>
    </w:p>
    <w:p>
      <w:pPr>
        <w:pStyle w:val="Style24"/>
        <w:ind w:left="454" w:right="0" w:hanging="454"/>
        <w:rPr>
          <w:lang w:val="en-US"/>
        </w:rPr>
      </w:pPr>
      <w:r>
        <w:rPr>
          <w:lang w:val="en-US"/>
        </w:rPr>
        <w:t>3p. T. Muller, A. Badu-Tawiah, R. G. Cooks. Accelerated Carbon Carbon Bond-Forming Reactions in Preparative Electrospray. / Angew. Chem. Int. Ed. 2012, 51, 11832 –11835   DOI: 10.1002/anie.201206632</w:t>
      </w:r>
    </w:p>
    <w:p>
      <w:pPr>
        <w:pStyle w:val="Style24"/>
        <w:ind w:left="454" w:right="0" w:hanging="454"/>
        <w:rPr>
          <w:lang w:val="en-US"/>
        </w:rPr>
      </w:pPr>
      <w:r>
        <w:rPr>
          <w:lang w:val="en-US"/>
        </w:rPr>
        <w:t>4p. METHODS OF ELECTROSPRAY CHEMICAL SYNTHESIS AND DEVICE FOR USE THEREIN. United States Patent  № US 8,926,801 B2   Jan. 6, 2015</w:t>
      </w:r>
    </w:p>
    <w:p>
      <w:pPr>
        <w:pStyle w:val="Style24"/>
        <w:ind w:left="454" w:right="0" w:hanging="454"/>
        <w:rPr>
          <w:lang w:val="en-US"/>
        </w:rPr>
      </w:pPr>
      <w:r>
        <w:rPr>
          <w:lang w:val="en-US"/>
        </w:rPr>
        <w:t>1f. 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Style24"/>
        <w:ind w:left="454" w:right="0" w:hanging="454"/>
        <w:rPr>
          <w:lang w:val="en-US"/>
        </w:rPr>
      </w:pPr>
      <w:r>
        <w:rPr>
          <w:lang w:val="en-US"/>
        </w:rPr>
        <w:t>2f. Smith CA, I'Maille G, Want EJ, Qin C, Trauger SA, Brandon TR, Custodio DE, Abagyan R, Siuzdak G (December 2005). "METLIN: a metabolite mass spectral database". Ther Drug Monit. 27 (6): 747–51. doi:10.1097/01.ftd.0000179845.53213.39. PMID 16404815</w:t>
      </w:r>
    </w:p>
    <w:p>
      <w:pPr>
        <w:pStyle w:val="Style24"/>
        <w:ind w:left="454" w:right="0" w:hanging="454"/>
        <w:rPr>
          <w:lang w:val="en-US"/>
        </w:rPr>
      </w:pPr>
      <w:r>
        <w:rPr>
          <w:lang w:val="en-US"/>
        </w:rPr>
        <w:t>3f. Wolf S, Schmidt S, Muller-Hannemann M, Neumann S (March 2010). "In silico fragmentation for computer assisted identification of metabolite mass spectra". BMC Bioinformatics. 11: 148. doi:10.1186/1471-2105-11-148. PMC 2853470 Freely accessible. PMID 20307295</w:t>
      </w:r>
    </w:p>
    <w:p>
      <w:pPr>
        <w:pStyle w:val="Style24"/>
        <w:ind w:left="454" w:right="0" w:hanging="454"/>
        <w:rPr/>
      </w:pPr>
      <w:r>
        <w:rPr>
          <w:lang w:val="en-US"/>
        </w:rPr>
        <w:t xml:space="preserve">4f. </w:t>
      </w:r>
      <w:r>
        <w:rPr>
          <w:lang w:val="en-US"/>
        </w:rPr>
        <w:drawing>
          <wp:inline distT="0" distB="0" distL="0" distR="0">
            <wp:extent cx="4019550" cy="400050"/>
            <wp:effectExtent l="0" t="0" r="0" b="0"/>
            <wp:docPr id="35"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0" descr=""/>
                    <pic:cNvPicPr>
                      <a:picLocks noChangeAspect="1" noChangeArrowheads="1"/>
                    </pic:cNvPicPr>
                  </pic:nvPicPr>
                  <pic:blipFill>
                    <a:blip r:embed="rId40"/>
                    <a:stretch>
                      <a:fillRect/>
                    </a:stretch>
                  </pic:blipFill>
                  <pic:spPr bwMode="auto">
                    <a:xfrm>
                      <a:off x="0" y="0"/>
                      <a:ext cx="4019550" cy="400050"/>
                    </a:xfrm>
                    <a:prstGeom prst="rect">
                      <a:avLst/>
                    </a:prstGeom>
                  </pic:spPr>
                </pic:pic>
              </a:graphicData>
            </a:graphic>
          </wp:inline>
        </w:drawing>
      </w:r>
    </w:p>
    <w:p>
      <w:pPr>
        <w:pStyle w:val="Style24"/>
        <w:ind w:left="454" w:right="0" w:hanging="454"/>
        <w:rPr>
          <w:lang w:val="en-US"/>
        </w:rPr>
      </w:pPr>
      <w:r>
        <w:rPr>
          <w:lang w:val="en-US"/>
        </w:rPr>
        <w:t>5f.</w:t>
      </w:r>
    </w:p>
    <w:p>
      <w:pPr>
        <w:pStyle w:val="Style24"/>
        <w:ind w:left="454" w:right="0" w:hanging="454"/>
        <w:rPr>
          <w:lang w:val="en-US"/>
        </w:rPr>
      </w:pPr>
      <w:r>
        <w:rPr>
          <w:lang w:val="en-US"/>
        </w:rPr>
        <w:t>6f. Neese, F. (2012) The ORCA program system, Wiley Interdiscip. Rev.: Comput. Mol. Sci., 2, 73–78.</w:t>
      </w:r>
    </w:p>
    <w:p>
      <w:pPr>
        <w:pStyle w:val="Style24"/>
        <w:ind w:left="454" w:right="0" w:hanging="454"/>
        <w:rPr/>
      </w:pPr>
      <w:r>
        <w:rPr>
          <w:lang w:val="en-US"/>
        </w:rPr>
        <w:t xml:space="preserve">7f. Williams, T. and Kelley, C. (2011). Gnuplot 4.5: an interactive plotting program. </w:t>
      </w:r>
      <w:r>
        <w:rPr/>
        <w:t>URL http://gnuplot.info. (Last accessed: 2011 June 7)</w:t>
      </w:r>
    </w:p>
    <w:p>
      <w:pPr>
        <w:pStyle w:val="Style24"/>
        <w:ind w:left="454" w:right="0" w:hanging="454"/>
        <w:rPr/>
      </w:pPr>
      <w:r>
        <w:rPr/>
        <w:t xml:space="preserve"> </w:t>
      </w:r>
    </w:p>
    <w:p>
      <w:pPr>
        <w:pStyle w:val="Style24"/>
        <w:ind w:left="454" w:right="0" w:hanging="454"/>
        <w:rPr/>
      </w:pPr>
      <w:r>
        <w:rPr/>
      </w:r>
    </w:p>
    <w:p>
      <w:pPr>
        <w:pStyle w:val="Style24"/>
        <w:ind w:left="0" w:right="0" w:hanging="0"/>
        <w:rPr/>
      </w:pPr>
      <w:r>
        <w:rPr/>
      </w:r>
      <w:r>
        <w:br w:type="page"/>
      </w:r>
    </w:p>
    <w:p>
      <w:pPr>
        <w:pStyle w:val="Style24"/>
        <w:ind w:left="0" w:right="0" w:hanging="0"/>
        <w:rPr/>
      </w:pPr>
      <w:r>
        <w:rPr/>
      </w:r>
    </w:p>
    <w:p>
      <w:pPr>
        <w:pStyle w:val="1"/>
        <w:numPr>
          <w:ilvl w:val="0"/>
          <w:numId w:val="1"/>
        </w:numPr>
        <w:ind w:left="567" w:right="0" w:hanging="0"/>
        <w:rPr/>
      </w:pPr>
      <w:bookmarkStart w:id="16" w:name="__RefHeading___Toc11498_1966729274"/>
      <w:bookmarkEnd w:id="16"/>
      <w:r>
        <w:rPr/>
        <w:t>Приложение 1. Характеристики полученных солей</w:t>
      </w:r>
    </w:p>
    <w:p>
      <w:pPr>
        <w:pStyle w:val="Normal"/>
        <w:rPr/>
      </w:pPr>
      <w:r>
        <w:rPr>
          <w:rFonts w:eastAsia="Times New Roman" w:cs="Times New Roman"/>
          <w:b/>
          <w:color w:val="000000"/>
          <w:lang w:val="en-US"/>
        </w:rPr>
        <w:t>General synthesis of arenediazonium trflates (1a-i)</w:t>
      </w:r>
      <w:r>
        <w:rPr>
          <w:b/>
          <w:color w:val="000000"/>
          <w:lang w:val="en-US"/>
        </w:rPr>
        <w:t xml:space="preserve"> </w:t>
      </w:r>
    </w:p>
    <w:p>
      <w:pPr>
        <w:pStyle w:val="Normal"/>
        <w:rPr/>
      </w:pPr>
      <w:r>
        <w:rPr>
          <w:color w:val="000000"/>
        </w:rPr>
        <w:t>В</w:t>
      </w:r>
      <w:r>
        <w:rPr>
          <w:color w:val="000000"/>
          <w:lang w:val="en-US"/>
        </w:rPr>
        <w:t xml:space="preserve"> 6 </w:t>
      </w:r>
      <w:r>
        <w:rPr>
          <w:color w:val="000000"/>
        </w:rPr>
        <w:t>мл</w:t>
      </w:r>
      <w:r>
        <w:rPr>
          <w:color w:val="000000"/>
          <w:lang w:val="en-US"/>
        </w:rPr>
        <w:t xml:space="preserve"> </w:t>
      </w:r>
      <w:r>
        <w:rPr>
          <w:color w:val="000000"/>
        </w:rPr>
        <w:t>ледяной</w:t>
      </w:r>
      <w:r>
        <w:rPr>
          <w:color w:val="000000"/>
          <w:lang w:val="en-US"/>
        </w:rPr>
        <w:t xml:space="preserve"> </w:t>
      </w:r>
      <w:r>
        <w:rPr>
          <w:color w:val="000000"/>
        </w:rPr>
        <w:t>уксусной</w:t>
      </w:r>
      <w:r>
        <w:rPr>
          <w:color w:val="000000"/>
          <w:lang w:val="en-US"/>
        </w:rPr>
        <w:t xml:space="preserve"> </w:t>
      </w:r>
      <w:r>
        <w:rPr>
          <w:color w:val="000000"/>
        </w:rPr>
        <w:t>кислоты</w:t>
      </w:r>
      <w:r>
        <w:rPr>
          <w:color w:val="000000"/>
          <w:lang w:val="en-US"/>
        </w:rPr>
        <w:t xml:space="preserve"> </w:t>
      </w:r>
      <w:r>
        <w:rPr>
          <w:color w:val="000000"/>
        </w:rPr>
        <w:t>растворяли</w:t>
      </w:r>
      <w:r>
        <w:rPr>
          <w:color w:val="000000"/>
          <w:lang w:val="en-US"/>
        </w:rPr>
        <w:t xml:space="preserve"> 0.5 </w:t>
      </w:r>
      <w:r>
        <w:rPr>
          <w:color w:val="000000"/>
        </w:rPr>
        <w:t>мл</w:t>
      </w:r>
      <w:r>
        <w:rPr>
          <w:color w:val="000000"/>
          <w:lang w:val="en-US"/>
        </w:rPr>
        <w:t xml:space="preserve"> (1.2 mmol) </w:t>
      </w:r>
      <w:r>
        <w:rPr>
          <w:color w:val="000000"/>
        </w:rPr>
        <w:t>трифторметансульфокислоты</w:t>
      </w:r>
      <w:r>
        <w:rPr>
          <w:color w:val="000000"/>
          <w:lang w:val="en-US"/>
        </w:rPr>
        <w:t xml:space="preserve"> </w:t>
      </w:r>
      <w:r>
        <w:rPr>
          <w:color w:val="000000"/>
        </w:rPr>
        <w:t>и</w:t>
      </w:r>
      <w:r>
        <w:rPr>
          <w:color w:val="000000"/>
          <w:lang w:val="en-US"/>
        </w:rPr>
        <w:t xml:space="preserve"> 1.0 mmol aniline.  </w:t>
      </w:r>
      <w:r>
        <w:rPr>
          <w:color w:val="000000"/>
        </w:rPr>
        <w:t xml:space="preserve">К раствору при перемешивании по каплям прибавляли 1 </w:t>
      </w:r>
      <w:r>
        <w:rPr>
          <w:color w:val="000000"/>
          <w:lang w:val="en-US"/>
        </w:rPr>
        <w:t>mmol</w:t>
      </w:r>
      <w:r>
        <w:rPr>
          <w:color w:val="000000"/>
        </w:rPr>
        <w:t xml:space="preserve"> </w:t>
      </w:r>
      <w:r>
        <w:rPr>
          <w:color w:val="000000"/>
          <w:lang w:val="en-US"/>
        </w:rPr>
        <w:t>butyl</w:t>
      </w:r>
      <w:r>
        <w:rPr>
          <w:color w:val="000000"/>
        </w:rPr>
        <w:t xml:space="preserve"> </w:t>
      </w:r>
      <w:r>
        <w:rPr>
          <w:color w:val="000000"/>
          <w:lang w:val="en-US"/>
        </w:rPr>
        <w:t>nitrite</w:t>
      </w:r>
      <w:r>
        <w:rPr>
          <w:color w:val="000000"/>
        </w:rPr>
        <w:t xml:space="preserve"> при температуре 0-5 </w:t>
      </w:r>
      <w:r>
        <w:rPr>
          <w:color w:val="000000"/>
          <w:vertAlign w:val="superscript"/>
        </w:rPr>
        <w:t>о</w:t>
      </w:r>
      <w:r>
        <w:rPr>
          <w:color w:val="000000"/>
        </w:rPr>
        <w:t xml:space="preserve">С. Затем, при охлаждении по каплям прибавляли 0,6 мл бутилнитрита. Реакционную массу перемешивали при 10-15 </w:t>
      </w:r>
      <w:r>
        <w:rPr>
          <w:color w:val="000000"/>
          <w:vertAlign w:val="superscript"/>
        </w:rPr>
        <w:t>о</w:t>
      </w:r>
      <w:r>
        <w:rPr>
          <w:color w:val="000000"/>
        </w:rPr>
        <w:t>С в течение  10-20 мин до исчезновения пятна анилина на ТСХ (элюент гексан-</w:t>
      </w:r>
      <w:r>
        <w:rPr>
          <w:color w:val="000000"/>
          <w:lang w:val="en-US"/>
        </w:rPr>
        <w:t>EtOAc</w:t>
      </w:r>
      <w:r>
        <w:rPr>
          <w:color w:val="000000"/>
        </w:rPr>
        <w:t xml:space="preserve"> 3:2). К реакционному раствору прибавляли 100-150 мл эфира, отфильтровывали осадок соли </w:t>
      </w:r>
      <w:r>
        <w:rPr>
          <w:b/>
          <w:color w:val="000000"/>
        </w:rPr>
        <w:t>1</w:t>
      </w:r>
      <w:r>
        <w:rPr>
          <w:color w:val="000000"/>
        </w:rPr>
        <w:t>, промывали эфиром и высушивали в вакууме при комнатной температуре 48 часов.</w:t>
      </w:r>
    </w:p>
    <w:p>
      <w:pPr>
        <w:pStyle w:val="Normal"/>
        <w:rPr/>
      </w:pPr>
      <w:r>
        <w:rPr>
          <w:b/>
          <w:bCs/>
          <w:color w:val="000000"/>
          <w:lang w:val="en-US"/>
        </w:rPr>
        <w:t xml:space="preserve">Benzenediazonium trifluoromethanesulfonate (1a): </w:t>
      </w:r>
      <w:r>
        <w:rPr>
          <w:color w:val="000000"/>
          <w:lang w:val="en-US"/>
        </w:rPr>
        <w:t>Light beige solid; yield 246 mg (97%); m.p. 88-89 (lit. m.p. 81 о С [9c] ). 1 Н NMR (300 MHz, DMSO-d 6 ): δ = 8.66 (d, J = 8.1 Hz, 2Н, CH Ar ), 8.25-8.20 (m, 1Н, CH Ar ), 7.98-7.93 (m, 2Н, CH Ar ), ppm. 13 С NMR (75 MHz, DMSO-d 6 ): δ = 141.2 (CH Ar ), 132.9 (CH Ar ), 131.5 (CH Ar ), 120.9 (q, J = 319.6 Hz, CF 3 ), 116.1 (C Ar -N 2+ ) ppm. IR (KBr): 2297 cm -1 (lit. 2260 cm -1 [9c] ).</w:t>
      </w:r>
    </w:p>
    <w:p>
      <w:pPr>
        <w:pStyle w:val="Normal"/>
        <w:rPr/>
      </w:pPr>
      <w:r>
        <w:rPr>
          <w:b/>
          <w:bCs/>
          <w:color w:val="000000"/>
          <w:lang w:val="en-US"/>
        </w:rPr>
        <w:t>2-Nitrobenzenediazonium trifluoromethanesulfonate (1b).</w:t>
      </w:r>
      <w:r>
        <w:rPr>
          <w:color w:val="000000"/>
          <w:lang w:val="en-US"/>
        </w:rPr>
        <w:t xml:space="preserve"> White solid; yield 281 mg (94%), m.p. 110 o C. 1 Н NMR (300 MHz, DMSO-d 6 ): δ=9.12 (d, J = 8.1 Hz, 1H, CH Ar ), 8.79 (d, J = 8.1 Hz, 1H, CH Ar ), 8.56-8.51 (m, 1H, CH Ar ), 8.39-8.44 (m, 1H, CH Ar ) ppm. 13 С NMR (75 MHz, DMSO- d 6 ): δ = 144.5 (C Ar -NO 2 ), 136.6 (CH Ar ), 128.1 (CH Ar ), 122.8 (CH Ar ), 120.6 (q, J = 320.0 Hz, CF 3 ), 118.5 (CH Ar ), 111.1 (C Ar -N 2+ ) ppm. IR (KBr): 2359 cm -1 . CHNS-analysis: calc. for C 7 H 4 F 3 N 3 O 5 S: C, 28.10; H, 1.35; N, 14.04; S, 10.72; F, 19.05. Found C, 28.09; H, 1.32; N, 13.89; S, 10.85; F, 19.40.</w:t>
      </w:r>
    </w:p>
    <w:p>
      <w:pPr>
        <w:pStyle w:val="Normal"/>
        <w:rPr/>
      </w:pPr>
      <w:r>
        <w:rPr>
          <w:b/>
          <w:bCs/>
          <w:color w:val="000000"/>
          <w:lang w:val="en-US"/>
        </w:rPr>
        <w:t>3-Nitrobenzenediazonium trifluoromethanesulfonate (1c).</w:t>
      </w:r>
      <w:r>
        <w:rPr>
          <w:color w:val="000000"/>
          <w:lang w:val="en-US"/>
        </w:rPr>
        <w:t xml:space="preserve"> </w:t>
      </w:r>
      <w:r>
        <w:rPr>
          <w:rFonts w:eastAsia="Times New Roman" w:cs="Times New Roman"/>
          <w:color w:val="000000"/>
          <w:lang w:val="en-US"/>
        </w:rPr>
        <w:t>White solid; yield 293 mg (98%), m.p. 108-109 o C. 1 Н NMR (400 MHz, DMSO-d 6 ): δ=9.60 (s, 1H, CH Ar ), 9.03-8.99 (m, 2H, CH Ar ), 8.27-8.23 (m, 1H, CH Ar ) ppm. 13С NMR (100.5 MHz, DMSO-d 6 ): δ = 148.1 (C Ar -NO 2 ), 138.3 (CH Ar ), 135.5 (CH Ar ), 132.2 (CH Ar ), 128.5 (CH Ar ), 121.1 (q, J = 245.0 Hz, CF 3 ), 118.7 (C Ar -N 2+ ) ppm. IR (KBr): 2294 cm -1 . CHNS-analysis: calc. For C 7 H 4 F 3 N 3 O 5 S: C, 28.10; H, 1.35; N, 14.04; S, 10.72. Found C, 28.29; H, 1.57; N, 14.16; S, 10.58.</w:t>
      </w:r>
    </w:p>
    <w:p>
      <w:pPr>
        <w:pStyle w:val="Normal"/>
        <w:rPr/>
      </w:pPr>
      <w:r>
        <w:rPr>
          <w:b/>
          <w:bCs/>
          <w:color w:val="000000"/>
          <w:lang w:val="en-US"/>
        </w:rPr>
        <w:t>4-Nitrobenzenediazonium trifluoromethanesulfonate (1d).</w:t>
      </w:r>
      <w:r>
        <w:rPr>
          <w:color w:val="000000"/>
          <w:lang w:val="en-US"/>
        </w:rPr>
        <w:t xml:space="preserve"> White solid; yield 284 mg (95%), m.p. 104 o C (lit. m.p. 99 o C [9c] ). 1 Н NMR (400 MHz, DMSO-d 6 ): δ = 8.93 (d, J = 9.2 Hz, 2H, CH Ar ), 8.71 (d, J = 9.7 Hz, 2H, CH Ar ) ppm. 13 С NMR (75 MHz, DMSO-d 6 ): δ = 153.2 (C Ar -NO 2 ), 136.2 (CH Ar ), 134.5 (CH Ar ), 126.0 (CH Ar ), 120.0 (q, J = 320.0 Hz, CF 3 ), 121.8 (C Ar -N 2+ ) ppm. IR (KBr): 2303 cm -1.</w:t>
      </w:r>
    </w:p>
    <w:p>
      <w:pPr>
        <w:pStyle w:val="Normal"/>
        <w:rPr/>
      </w:pPr>
      <w:r>
        <w:rPr>
          <w:b/>
          <w:bCs/>
          <w:color w:val="000000"/>
          <w:lang w:val="en-US"/>
        </w:rPr>
        <w:t>4-Methoxybenzenediazonium trifluoromethanesulfonate (1e).</w:t>
      </w:r>
      <w:r>
        <w:rPr>
          <w:color w:val="000000"/>
          <w:lang w:val="en-US"/>
        </w:rPr>
        <w:t xml:space="preserve"> Light beige solid; yield 241 mg (85%); m.p. 94-97 o C (lit. 55 o C [9c] ). 1 Н NMR (300 MHz, DMSO-d 6 ): δ = 8.55 (d, J = 9.0 Hz, 2H, CH Ar ), 7.47 (d, J = 9.0 Hz, 2H, CH Ar ), 4.04 (s, 3Н, OCH 3 ) ppm. 13 С NMR (75 MHz, DMSO-d 6 ): δ = 168.9 (C Ar -OCH 3 ), 136.2 (CH Ar ), 120.7 (q, J = 320.0 Hz, CF 3 ), 118.6 (CH Ar ), 103.3 (C Ar -N 2+ ), (OCH 3 ) ppm. IR (KBr): 2249 cm -1.</w:t>
      </w:r>
    </w:p>
    <w:p>
      <w:pPr>
        <w:pStyle w:val="Normal"/>
        <w:rPr/>
      </w:pPr>
      <w:r>
        <w:rPr>
          <w:b/>
          <w:bCs/>
          <w:lang w:val="en-US"/>
        </w:rPr>
        <w:t>2-Carboxybenzenediazonium trifluoromethanesulfonate (1f). ???</w:t>
      </w:r>
      <w:r>
        <w:rPr>
          <w:lang w:val="en-US"/>
        </w:rPr>
        <w:t>,</w:t>
      </w:r>
    </w:p>
    <w:p>
      <w:pPr>
        <w:pStyle w:val="Normal"/>
        <w:rPr/>
      </w:pPr>
      <w:r>
        <w:rPr>
          <w:b/>
          <w:bCs/>
          <w:lang w:val="en-US"/>
        </w:rPr>
        <w:t xml:space="preserve">4-Carboxybenzenediazonium trifluoromethanesulfonate (1g). </w:t>
      </w:r>
      <w:r>
        <w:rPr>
          <w:lang w:val="en-US"/>
        </w:rPr>
        <w:t>White solid; yield 295 mg (99%), m.p. 118 o C. 1 Н NMR (300 MHz, DMSO-d 6 ): δ = 8.77 (d, J = 8.4 Hz, 2H, CH Ar ), 8.41 (d, J = 8.4 Hz, 2H, CH Ar ) ppm. 13 С NMR (75 MHz, DMSO-d 6 ): δ = 164.9 (CO 2 H), 140.8 (C Ar -CO 2 H), 133.2 (CH Ar ), 131.4 (CH Ar ), 120.7 (q, J = 245.0 Hz, CF 3 ), 119.7 (C Ar -N 2+ ) ppm. IR (ATR): 2297 cm -1 . CHNS-analysis: calc. for C 8 H 5 F 3 N 2 O 5 S: C, 32.22; H, 1.69; N, 9.39; S, 10.75. Found C, 32.26; H, 1.77; N, 9.42; S, 10.81.</w:t>
      </w:r>
    </w:p>
    <w:p>
      <w:pPr>
        <w:pStyle w:val="Normal"/>
        <w:rPr/>
      </w:pPr>
      <w:r>
        <w:rPr>
          <w:b/>
          <w:bCs/>
          <w:lang w:val="en-US"/>
        </w:rPr>
        <w:t>4-Bromobenzenediazonium trifluoromethanesulfonate (1h). ???</w:t>
      </w:r>
      <w:r>
        <w:rPr>
          <w:lang w:val="en-US"/>
        </w:rPr>
        <w:t>,</w:t>
      </w:r>
    </w:p>
    <w:p>
      <w:pPr>
        <w:pStyle w:val="Normal"/>
        <w:rPr/>
      </w:pPr>
      <w:r>
        <w:rPr>
          <w:b/>
          <w:bCs/>
          <w:lang w:val="en-US"/>
        </w:rPr>
        <w:t>4-Carboxy-4-bromobenzenediazonium trifluoromethanesulfonate (1i). ???</w:t>
      </w:r>
      <w:r>
        <w:rPr>
          <w:lang w:val="en-US"/>
        </w:rPr>
        <w:t>,</w:t>
      </w:r>
    </w:p>
    <w:p>
      <w:pPr>
        <w:pStyle w:val="Normal"/>
        <w:rPr>
          <w:b/>
          <w:b/>
          <w:color w:val="006600"/>
          <w:lang w:val="en-US"/>
        </w:rPr>
      </w:pPr>
      <w:r>
        <w:rPr>
          <w:b/>
          <w:color w:val="006600"/>
          <w:lang w:val="en-US"/>
        </w:rPr>
        <w:t>4-Nitrobenzenediazonium tosylate (2)</w:t>
      </w:r>
    </w:p>
    <w:p>
      <w:pPr>
        <w:pStyle w:val="Normal"/>
        <w:rPr/>
      </w:pPr>
      <w:r>
        <w:rPr>
          <w:color w:val="006600"/>
        </w:rPr>
        <w:t>В 5 мл ледяной уксусной кислоты растворяли 0.928</w:t>
      </w:r>
      <w:r>
        <w:rPr>
          <w:color w:val="006600"/>
          <w:lang w:val="en-US"/>
        </w:rPr>
        <w:t> </w:t>
      </w:r>
      <w:r>
        <w:rPr>
          <w:color w:val="006600"/>
        </w:rPr>
        <w:t xml:space="preserve">г (5.4 </w:t>
      </w:r>
      <w:r>
        <w:rPr>
          <w:color w:val="006600"/>
          <w:lang w:val="en-US"/>
        </w:rPr>
        <w:t>mmol</w:t>
      </w:r>
      <w:r>
        <w:rPr>
          <w:color w:val="006600"/>
        </w:rPr>
        <w:t xml:space="preserve">) </w:t>
      </w:r>
      <w:r>
        <w:rPr>
          <w:i/>
          <w:color w:val="006600"/>
          <w:lang w:val="en-US"/>
        </w:rPr>
        <w:t>p</w:t>
      </w:r>
      <w:r>
        <w:rPr>
          <w:color w:val="006600"/>
        </w:rPr>
        <w:t>-</w:t>
      </w:r>
      <w:r>
        <w:rPr>
          <w:color w:val="006600"/>
          <w:lang w:val="en-US"/>
        </w:rPr>
        <w:t>TsOH</w:t>
      </w:r>
      <w:r>
        <w:rPr>
          <w:color w:val="006600"/>
        </w:rPr>
        <w:t xml:space="preserve">  и  0.553</w:t>
      </w:r>
      <w:r>
        <w:rPr>
          <w:color w:val="006600"/>
          <w:lang w:val="en-US"/>
        </w:rPr>
        <w:t> </w:t>
      </w:r>
      <w:r>
        <w:rPr>
          <w:color w:val="006600"/>
        </w:rPr>
        <w:t xml:space="preserve">г (4.0 </w:t>
      </w:r>
      <w:r>
        <w:rPr>
          <w:color w:val="006600"/>
          <w:lang w:val="en-US"/>
        </w:rPr>
        <w:t>mmol</w:t>
      </w:r>
      <w:r>
        <w:rPr>
          <w:color w:val="006600"/>
        </w:rPr>
        <w:t xml:space="preserve">) </w:t>
      </w:r>
      <w:r>
        <w:rPr>
          <w:i/>
          <w:color w:val="006600"/>
          <w:lang w:val="en-US"/>
        </w:rPr>
        <w:t>p</w:t>
      </w:r>
      <w:r>
        <w:rPr>
          <w:color w:val="006600"/>
        </w:rPr>
        <w:t>-</w:t>
      </w:r>
      <w:r>
        <w:rPr>
          <w:color w:val="006600"/>
          <w:lang w:val="en-US"/>
        </w:rPr>
        <w:t>nitroaniline</w:t>
      </w:r>
      <w:r>
        <w:rPr>
          <w:color w:val="006600"/>
        </w:rPr>
        <w:t xml:space="preserve">. К раствору при перемешивании по каплям прибавляли 0.6 мл (4.8 </w:t>
      </w:r>
      <w:r>
        <w:rPr>
          <w:color w:val="006600"/>
          <w:lang w:val="en-US"/>
        </w:rPr>
        <w:t>mmol</w:t>
      </w:r>
      <w:r>
        <w:rPr>
          <w:color w:val="006600"/>
        </w:rPr>
        <w:t xml:space="preserve">) </w:t>
      </w:r>
      <w:r>
        <w:rPr>
          <w:color w:val="006600"/>
          <w:lang w:val="en-US"/>
        </w:rPr>
        <w:t>butyl</w:t>
      </w:r>
      <w:r>
        <w:rPr>
          <w:color w:val="006600"/>
        </w:rPr>
        <w:t xml:space="preserve"> </w:t>
      </w:r>
      <w:r>
        <w:rPr>
          <w:color w:val="006600"/>
          <w:lang w:val="en-US"/>
        </w:rPr>
        <w:t>nitrite</w:t>
      </w:r>
      <w:r>
        <w:rPr>
          <w:color w:val="006600"/>
        </w:rPr>
        <w:t xml:space="preserve"> при температуре 0-5 </w:t>
      </w:r>
      <w:r>
        <w:rPr>
          <w:color w:val="006600"/>
          <w:vertAlign w:val="superscript"/>
        </w:rPr>
        <w:t>о</w:t>
      </w:r>
      <w:r>
        <w:rPr>
          <w:color w:val="006600"/>
        </w:rPr>
        <w:t xml:space="preserve">С. Реакционную массу перемешивали при 10-15 </w:t>
      </w:r>
      <w:r>
        <w:rPr>
          <w:color w:val="006600"/>
          <w:vertAlign w:val="superscript"/>
        </w:rPr>
        <w:t>о</w:t>
      </w:r>
      <w:r>
        <w:rPr>
          <w:color w:val="006600"/>
        </w:rPr>
        <w:t>С в течение  20 мин до исчезновения пятна анилина на ТСХ (элюент гексан-</w:t>
      </w:r>
      <w:r>
        <w:rPr>
          <w:color w:val="006600"/>
          <w:lang w:val="en-US"/>
        </w:rPr>
        <w:t>EtOAc</w:t>
      </w:r>
      <w:r>
        <w:rPr>
          <w:color w:val="006600"/>
        </w:rPr>
        <w:t xml:space="preserve"> 3:2). К реакционному раствору прибавляли 200 мл эфира, отфильтровывали осадок соли </w:t>
      </w:r>
      <w:r>
        <w:rPr>
          <w:b/>
          <w:color w:val="006600"/>
        </w:rPr>
        <w:t>2</w:t>
      </w:r>
      <w:r>
        <w:rPr>
          <w:color w:val="006600"/>
        </w:rPr>
        <w:t xml:space="preserve">, промывали эфиром и высушивали в вакууме при комнатной температуре 48 часов. </w:t>
      </w:r>
      <w:r>
        <w:rPr>
          <w:color w:val="006600"/>
          <w:lang w:val="en-US"/>
        </w:rPr>
        <w:t>Yield</w:t>
      </w:r>
      <w:r>
        <w:rPr>
          <w:color w:val="006600"/>
        </w:rPr>
        <w:t xml:space="preserve">, 1.4 </w:t>
      </w:r>
      <w:r>
        <w:rPr>
          <w:color w:val="006600"/>
          <w:lang w:val="en-US"/>
        </w:rPr>
        <w:t>g</w:t>
      </w:r>
      <w:r>
        <w:rPr>
          <w:color w:val="006600"/>
        </w:rPr>
        <w:t xml:space="preserve"> (90%), </w:t>
      </w:r>
      <w:r>
        <w:rPr>
          <w:color w:val="006600"/>
          <w:lang w:val="en-US"/>
        </w:rPr>
        <w:t>mp</w:t>
      </w:r>
      <w:r>
        <w:rPr>
          <w:color w:val="006600"/>
        </w:rPr>
        <w:t xml:space="preserve"> 132 </w:t>
      </w:r>
      <w:r>
        <w:rPr>
          <w:color w:val="006600"/>
          <w:vertAlign w:val="superscript"/>
          <w:lang w:val="en-US"/>
        </w:rPr>
        <w:t>o</w:t>
      </w:r>
      <w:r>
        <w:rPr>
          <w:color w:val="006600"/>
          <w:lang w:val="en-US"/>
        </w:rPr>
        <w:t>C</w:t>
      </w:r>
      <w:r>
        <w:rPr>
          <w:color w:val="006600"/>
        </w:rPr>
        <w:t xml:space="preserve"> (</w:t>
      </w:r>
      <w:r>
        <w:rPr>
          <w:color w:val="006600"/>
          <w:lang w:val="en-US"/>
        </w:rPr>
        <w:t>lit</w:t>
      </w:r>
      <w:r>
        <w:rPr>
          <w:color w:val="006600"/>
        </w:rPr>
        <w:t xml:space="preserve"> </w:t>
      </w:r>
      <w:r>
        <w:rPr>
          <w:color w:val="006600"/>
          <w:vertAlign w:val="superscript"/>
        </w:rPr>
        <w:t>3</w:t>
      </w:r>
      <w:r>
        <w:rPr>
          <w:color w:val="006600"/>
          <w:lang w:val="en-US"/>
        </w:rPr>
        <w:t> </w:t>
      </w:r>
      <w:r>
        <w:rPr>
          <w:color w:val="006600"/>
        </w:rPr>
        <w:t xml:space="preserve">132 </w:t>
      </w:r>
      <w:r>
        <w:rPr>
          <w:color w:val="006600"/>
          <w:vertAlign w:val="superscript"/>
          <w:lang w:val="en-US"/>
        </w:rPr>
        <w:t>o</w:t>
      </w:r>
      <w:r>
        <w:rPr>
          <w:color w:val="006600"/>
          <w:lang w:val="en-US"/>
        </w:rPr>
        <w:t>C</w:t>
      </w:r>
      <w:r>
        <w:rPr>
          <w:color w:val="006600"/>
        </w:rPr>
        <w:t xml:space="preserve">). </w:t>
      </w:r>
    </w:p>
    <w:p>
      <w:pPr>
        <w:pStyle w:val="Normal"/>
        <w:rPr/>
      </w:pPr>
      <w:r>
        <w:rPr>
          <w:rFonts w:eastAsia="Times New Roman" w:cs="Times New Roman"/>
          <w:color w:val="006600"/>
          <w:vertAlign w:val="superscript"/>
        </w:rPr>
        <w:t>1</w:t>
      </w:r>
      <w:r>
        <w:rPr>
          <w:rFonts w:eastAsia="Times New Roman" w:cs="Times New Roman"/>
          <w:color w:val="006600"/>
          <w:lang w:val="en-US"/>
        </w:rPr>
        <w:t>H</w:t>
      </w:r>
      <w:r>
        <w:rPr>
          <w:rFonts w:eastAsia="Times New Roman" w:cs="Times New Roman"/>
          <w:color w:val="006600"/>
        </w:rPr>
        <w:t xml:space="preserve"> ЯМР (300 МГц, </w:t>
      </w:r>
      <w:r>
        <w:rPr>
          <w:rFonts w:eastAsia="Times New Roman" w:cs="Times New Roman"/>
          <w:color w:val="006600"/>
          <w:lang w:val="en-US"/>
        </w:rPr>
        <w:t>DMSO</w:t>
      </w:r>
      <w:r>
        <w:rPr>
          <w:rFonts w:eastAsia="Times New Roman" w:cs="Times New Roman"/>
          <w:color w:val="006600"/>
        </w:rPr>
        <w:t>-</w:t>
      </w:r>
      <w:r>
        <w:rPr>
          <w:rFonts w:eastAsia="Times New Roman" w:cs="Times New Roman"/>
          <w:color w:val="006600"/>
          <w:lang w:val="en-US"/>
        </w:rPr>
        <w:t>d</w:t>
      </w:r>
      <w:r>
        <w:rPr>
          <w:rFonts w:eastAsia="Times New Roman" w:cs="Times New Roman"/>
          <w:color w:val="006600"/>
          <w:vertAlign w:val="subscript"/>
        </w:rPr>
        <w:t>6</w:t>
      </w:r>
      <w:r>
        <w:rPr>
          <w:rFonts w:eastAsia="Times New Roman" w:cs="Times New Roman"/>
          <w:color w:val="006600"/>
        </w:rPr>
        <w:t xml:space="preserve">),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2.28 (</w:t>
      </w:r>
      <w:r>
        <w:rPr>
          <w:rFonts w:eastAsia="Times New Roman" w:cs="Times New Roman"/>
          <w:color w:val="006600"/>
          <w:lang w:val="en-US"/>
        </w:rPr>
        <w:t>s</w:t>
      </w:r>
      <w:r>
        <w:rPr>
          <w:rFonts w:eastAsia="Times New Roman" w:cs="Times New Roman"/>
          <w:color w:val="006600"/>
        </w:rPr>
        <w:t>, 3</w:t>
      </w:r>
      <w:r>
        <w:rPr>
          <w:rFonts w:eastAsia="Times New Roman" w:cs="Times New Roman"/>
          <w:color w:val="006600"/>
          <w:lang w:val="en-US"/>
        </w:rPr>
        <w:t>H</w:t>
      </w:r>
      <w:r>
        <w:rPr>
          <w:rFonts w:eastAsia="Times New Roman" w:cs="Times New Roman"/>
          <w:color w:val="006600"/>
        </w:rPr>
        <w:t>), 7.09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=7.8 Гц), 7.45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color w:val="006600"/>
          <w:lang w:val="en-US"/>
        </w:rPr>
        <w:t>J</w:t>
      </w:r>
      <w:r>
        <w:rPr>
          <w:rFonts w:eastAsia="Times New Roman" w:cs="Times New Roman"/>
          <w:color w:val="006600"/>
        </w:rPr>
        <w:t>=7.8 Гц), 8.68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=9.3 Гц), 8.92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 xml:space="preserve">=9.0 Гц). </w:t>
      </w:r>
      <w:r>
        <w:rPr>
          <w:rFonts w:eastAsia="Times New Roman" w:cs="Times New Roman"/>
          <w:color w:val="006600"/>
          <w:vertAlign w:val="superscript"/>
        </w:rPr>
        <w:t>13</w:t>
      </w:r>
      <w:r>
        <w:rPr>
          <w:rFonts w:eastAsia="Times New Roman" w:cs="Times New Roman"/>
          <w:color w:val="006600"/>
          <w:lang w:val="en-US"/>
        </w:rPr>
        <w:t>C</w:t>
      </w:r>
      <w:r>
        <w:rPr>
          <w:rFonts w:eastAsia="Times New Roman" w:cs="Times New Roman"/>
          <w:color w:val="006600"/>
        </w:rPr>
        <w:t xml:space="preserve"> ЯМР (75 МГц, ДМСО),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20.84, 121.96, 125.57, 126.05, 128.18, 134.59, 137.85, 145.55, 153.22.</w:t>
      </w:r>
    </w:p>
    <w:p>
      <w:pPr>
        <w:pStyle w:val="Normal"/>
        <w:widowControl/>
        <w:tabs>
          <w:tab w:val="left" w:pos="225" w:leader="none"/>
          <w:tab w:val="left" w:pos="510" w:leader="none"/>
        </w:tabs>
        <w:suppressAutoHyphens w:val="true"/>
        <w:bidi w:val="0"/>
        <w:spacing w:lineRule="auto" w:line="312" w:before="0" w:after="113"/>
        <w:ind w:left="0" w:right="0" w:firstLine="567"/>
        <w:jc w:val="left"/>
        <w:rPr/>
      </w:pPr>
      <w:r>
        <w:rPr>
          <w:b/>
          <w:bCs/>
          <w:color w:val="006600"/>
        </w:rPr>
        <w:t>4-</w:t>
      </w:r>
      <w:r>
        <w:rPr>
          <w:b/>
          <w:bCs/>
          <w:color w:val="006600"/>
          <w:lang w:val="en-US"/>
        </w:rPr>
        <w:t>Nitrobenzenediazonium</w:t>
      </w:r>
      <w:r>
        <w:rPr>
          <w:b/>
          <w:bCs/>
          <w:color w:val="006600"/>
        </w:rPr>
        <w:t xml:space="preserve"> </w:t>
      </w:r>
      <w:r>
        <w:rPr>
          <w:b/>
          <w:bCs/>
          <w:color w:val="006600"/>
          <w:lang w:val="en-US"/>
        </w:rPr>
        <w:t>tetrafluoroborate</w:t>
      </w:r>
      <w:r>
        <w:rPr>
          <w:b/>
          <w:bCs/>
          <w:color w:val="006600"/>
        </w:rPr>
        <w:t xml:space="preserve"> (3) получен по методу [9].</w:t>
      </w:r>
    </w:p>
    <w:p>
      <w:pPr>
        <w:pStyle w:val="Normal"/>
        <w:rPr>
          <w:b/>
          <w:b/>
          <w:bCs/>
          <w:color w:val="000000"/>
        </w:rPr>
      </w:pPr>
      <w:r>
        <w:rPr>
          <w:b/>
          <w:bCs/>
          <w:color w:val="000000"/>
        </w:rPr>
      </w:r>
      <w:r>
        <w:br w:type="page"/>
      </w:r>
    </w:p>
    <w:p>
      <w:pPr>
        <w:pStyle w:val="1"/>
        <w:numPr>
          <w:ilvl w:val="0"/>
          <w:numId w:val="1"/>
        </w:numPr>
        <w:ind w:left="567" w:right="0" w:hanging="0"/>
        <w:rPr/>
      </w:pPr>
      <w:bookmarkStart w:id="17" w:name="__RefHeading___Toc11500_1966729274"/>
      <w:bookmarkEnd w:id="17"/>
      <w:r>
        <w:rPr/>
        <w:t>Приложение 2. Результаты квантовохимических расчетов структур диазониевых катионов в (S)-синглетном и (T)-триплетном состоянии</w:t>
      </w:r>
    </w:p>
    <w:p>
      <w:pPr>
        <w:pStyle w:val="Normal"/>
        <w:jc w:val="right"/>
        <w:rPr/>
      </w:pPr>
      <w:r>
        <w:rPr/>
        <w:t xml:space="preserve">Таблица </w:t>
      </w:r>
      <w:r>
        <w:rPr/>
        <w:t>S2.</w:t>
      </w:r>
      <w:r>
        <w:rPr/>
        <w:t xml:space="preserve">1. </w:t>
      </w:r>
    </w:p>
    <w:p>
      <w:pPr>
        <w:pStyle w:val="Normal"/>
        <w:jc w:val="center"/>
        <w:rPr/>
      </w:pPr>
      <w:r>
        <w:rPr/>
        <w:t>Термодинамика синглет-триплетного перехода</w:t>
      </w:r>
    </w:p>
    <w:p>
      <w:pPr>
        <w:pStyle w:val="Normal"/>
        <w:tabs>
          <w:tab w:val="left" w:pos="225" w:leader="none"/>
          <w:tab w:val="left" w:pos="510" w:leader="none"/>
        </w:tabs>
        <w:spacing w:lineRule="auto" w:line="240"/>
        <w:ind w:left="0" w:right="0" w:hanging="0"/>
        <w:jc w:val="center"/>
        <w:rPr>
          <w:b/>
          <w:b/>
          <w:bCs/>
          <w:color w:val="000000"/>
          <w:sz w:val="12"/>
          <w:szCs w:val="12"/>
        </w:rPr>
      </w:pPr>
      <w:r>
        <w:rPr>
          <w:b/>
          <w:bCs/>
          <w:color w:val="000000"/>
          <w:sz w:val="12"/>
          <w:szCs w:val="12"/>
        </w:rPr>
      </w:r>
    </w:p>
    <w:tbl>
      <w:tblPr>
        <w:tblW w:w="9643"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43"/>
        <w:gridCol w:w="4927"/>
        <w:gridCol w:w="1095"/>
        <w:gridCol w:w="1093"/>
        <w:gridCol w:w="1095"/>
        <w:gridCol w:w="1090"/>
      </w:tblGrid>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b/>
                <w:b/>
                <w:bCs/>
                <w:sz w:val="20"/>
                <w:szCs w:val="20"/>
              </w:rPr>
            </w:pPr>
            <w:r>
              <w:rPr>
                <w:b/>
                <w:bCs/>
                <w:sz w:val="20"/>
                <w:szCs w:val="20"/>
              </w:rPr>
              <w:t>Process</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rPr>
              <w:t>Ph</w:t>
            </w:r>
            <w:r>
              <w:rPr>
                <w:sz w:val="20"/>
                <w:szCs w:val="20"/>
                <w:vertAlign w:val="superscript"/>
              </w:rPr>
              <w:t>+</w:t>
            </w:r>
            <w:r>
              <w:rPr>
                <w:sz w:val="20"/>
                <w:szCs w:val="20"/>
              </w:rPr>
              <w:t xml:space="preserve"> (S) = Ph</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79.70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79.37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81.87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rPr>
              <w:t>Ph-N</w:t>
            </w:r>
            <w:r>
              <w:rPr>
                <w:position w:val="-3"/>
                <w:sz w:val="20"/>
                <w:szCs w:val="20"/>
              </w:rPr>
              <w:t>2</w:t>
            </w:r>
            <w:r>
              <w:rPr>
                <w:sz w:val="20"/>
                <w:szCs w:val="20"/>
                <w:vertAlign w:val="superscript"/>
              </w:rPr>
              <w:t>+</w:t>
            </w:r>
            <w:r>
              <w:rPr>
                <w:sz w:val="20"/>
                <w:szCs w:val="20"/>
              </w:rPr>
              <w:t xml:space="preserve"> (S) = Ph-N</w:t>
            </w:r>
            <w:r>
              <w:rPr>
                <w:position w:val="-3"/>
                <w:sz w:val="20"/>
                <w:szCs w:val="20"/>
              </w:rPr>
              <w:t>2</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247.32</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228.51</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239.48</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10.99</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298.07</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291.80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293.87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2.07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213.54</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201.43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206.50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5.08</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5</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80.80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77.97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81.91</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3.95</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6</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223.43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210.04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215.59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5.56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68.20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63.99</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69.77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5.79</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186.81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178.10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180.60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(S) = 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-15.95</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-11.23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-10.67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0.56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(S)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189.93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176.94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183.83</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6.90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2-HOOC-Ph</w:t>
            </w:r>
            <w:r>
              <w:rPr>
                <w:sz w:val="20"/>
                <w:szCs w:val="20"/>
                <w:vertAlign w:val="superscript"/>
                <w:lang w:val="en-US"/>
              </w:rPr>
              <w:t>+</w:t>
            </w:r>
            <w:r>
              <w:rPr>
                <w:sz w:val="20"/>
                <w:szCs w:val="20"/>
                <w:lang w:val="en-US"/>
              </w:rPr>
              <w:t xml:space="preserve"> (S) = 2-HOOC-Ph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72.96</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71.15</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73.62</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2.46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 xml:space="preserve"> (S) = 2-HOOC-Ph-N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269.44</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247.33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258.09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10.77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4-HOOC-Ph</w:t>
            </w:r>
            <w:r>
              <w:rPr>
                <w:sz w:val="20"/>
                <w:szCs w:val="20"/>
                <w:vertAlign w:val="superscript"/>
                <w:lang w:val="en-US"/>
              </w:rPr>
              <w:t>+</w:t>
            </w:r>
            <w:r>
              <w:rPr>
                <w:sz w:val="20"/>
                <w:szCs w:val="20"/>
                <w:lang w:val="en-US"/>
              </w:rPr>
              <w:t xml:space="preserve"> (S) = 4-HOOC-Ph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71.03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70.10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73.21</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3.12</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 xml:space="preserve"> (S) = 4-HOOC-Ph-N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249.23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232.14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239.22</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7.08</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15</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4-Br-Ph</w:t>
            </w:r>
            <w:r>
              <w:rPr>
                <w:sz w:val="20"/>
                <w:szCs w:val="20"/>
                <w:vertAlign w:val="superscript"/>
                <w:lang w:val="en-US"/>
              </w:rPr>
              <w:t>+</w:t>
            </w:r>
            <w:r>
              <w:rPr>
                <w:sz w:val="20"/>
                <w:szCs w:val="20"/>
                <w:lang w:val="en-US"/>
              </w:rPr>
              <w:t xml:space="preserve"> (S) = 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20.03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24.35</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25.25</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0.90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4-Br-Ph-N</w:t>
            </w:r>
            <w:r>
              <w:rPr>
                <w:position w:val="-3"/>
                <w:sz w:val="20"/>
                <w:szCs w:val="20"/>
                <w:lang w:val="en-US"/>
              </w:rPr>
              <w:t>2</w:t>
            </w:r>
            <w:r>
              <w:rPr>
                <w:sz w:val="20"/>
                <w:szCs w:val="20"/>
                <w:vertAlign w:val="superscript"/>
                <w:lang w:val="en-US"/>
              </w:rPr>
              <w:t>+</w:t>
            </w:r>
            <w:r>
              <w:rPr>
                <w:sz w:val="20"/>
                <w:szCs w:val="20"/>
                <w:lang w:val="en-US"/>
              </w:rPr>
              <w:t xml:space="preserve"> (S) = 4-Br-Ph-N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210.81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198.47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205.03</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6.57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2-HOOC-4-Br-Ph</w:t>
            </w:r>
            <w:r>
              <w:rPr>
                <w:sz w:val="20"/>
                <w:szCs w:val="20"/>
                <w:vertAlign w:val="superscript"/>
                <w:lang w:val="en-US"/>
              </w:rPr>
              <w:t>+</w:t>
            </w:r>
            <w:r>
              <w:rPr>
                <w:sz w:val="20"/>
                <w:szCs w:val="20"/>
                <w:lang w:val="en-US"/>
              </w:rPr>
              <w:t xml:space="preserve"> (S) = 2-HOOC-4-Br-Ph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18.21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21.17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22.49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1.32</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 xml:space="preserve"> (S) = 2-HOOC-4-Br-Ph-N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234.39</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219.18</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227.30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8.13</w:t>
            </w:r>
          </w:p>
        </w:tc>
      </w:tr>
    </w:tbl>
    <w:p>
      <w:pPr>
        <w:pStyle w:val="Normal"/>
        <w:tabs>
          <w:tab w:val="left" w:pos="225" w:leader="none"/>
          <w:tab w:val="left" w:pos="510" w:leader="none"/>
        </w:tabs>
        <w:spacing w:before="0" w:after="113"/>
        <w:ind w:left="0" w:right="0" w:hanging="0"/>
        <w:jc w:val="center"/>
        <w:rPr/>
      </w:pPr>
      <w:r>
        <w:rPr/>
      </w:r>
    </w:p>
    <w:p>
      <w:pPr>
        <w:pStyle w:val="Normal"/>
        <w:numPr>
          <w:ilvl w:val="0"/>
          <w:numId w:val="2"/>
        </w:numPr>
        <w:jc w:val="right"/>
        <w:rPr/>
      </w:pPr>
      <w:r>
        <w:rPr/>
        <w:t xml:space="preserve">Таблица </w:t>
      </w:r>
      <w:r>
        <w:rPr/>
        <w:t>S2.2</w:t>
      </w:r>
      <w:r>
        <w:rPr/>
        <w:t xml:space="preserve">. </w:t>
      </w:r>
    </w:p>
    <w:p>
      <w:pPr>
        <w:pStyle w:val="Normal"/>
        <w:numPr>
          <w:ilvl w:val="0"/>
          <w:numId w:val="2"/>
        </w:numPr>
        <w:jc w:val="center"/>
        <w:rPr/>
      </w:pPr>
      <w:r>
        <w:rPr/>
        <w:t xml:space="preserve">Термодинамика отцепления азота диазониевых катионов </w:t>
      </w:r>
    </w:p>
    <w:p>
      <w:pPr>
        <w:pStyle w:val="Normal"/>
        <w:numPr>
          <w:ilvl w:val="0"/>
          <w:numId w:val="2"/>
        </w:numPr>
        <w:jc w:val="center"/>
        <w:rPr/>
      </w:pPr>
      <w:r>
        <w:rPr/>
        <w:t>рассчитанная методом DFT B3LYP в базисе 6-31G(d,p)</w:t>
      </w:r>
    </w:p>
    <w:p>
      <w:pPr>
        <w:pStyle w:val="Normal"/>
        <w:numPr>
          <w:ilvl w:val="0"/>
          <w:numId w:val="2"/>
        </w:numPr>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17"/>
        <w:gridCol w:w="5638"/>
        <w:gridCol w:w="920"/>
        <w:gridCol w:w="923"/>
        <w:gridCol w:w="920"/>
        <w:gridCol w:w="920"/>
      </w:tblGrid>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b/>
                <w:b/>
                <w:bCs/>
                <w:sz w:val="20"/>
                <w:szCs w:val="20"/>
              </w:rPr>
            </w:pPr>
            <w:r>
              <w:rPr>
                <w:b/>
                <w:bCs/>
                <w:sz w:val="20"/>
                <w:szCs w:val="20"/>
              </w:rPr>
              <w:t>№</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numPr>
                <w:ilvl w:val="0"/>
                <w:numId w:val="2"/>
              </w:numPr>
              <w:jc w:val="center"/>
              <w:rPr>
                <w:b/>
                <w:b/>
                <w:bCs/>
                <w:sz w:val="20"/>
                <w:szCs w:val="20"/>
              </w:rPr>
            </w:pPr>
            <w:r>
              <w:rPr>
                <w:b/>
                <w:bCs/>
                <w:sz w:val="20"/>
                <w:szCs w:val="20"/>
              </w:rPr>
              <w:t>kJ/mol</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numPr>
                <w:ilvl w:val="0"/>
                <w:numId w:val="2"/>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numPr>
                <w:ilvl w:val="0"/>
                <w:numId w:val="2"/>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numPr>
                <w:ilvl w:val="0"/>
                <w:numId w:val="2"/>
              </w:numPr>
              <w:jc w:val="center"/>
              <w:rPr>
                <w:b/>
                <w:b/>
                <w:bCs/>
                <w:sz w:val="20"/>
                <w:szCs w:val="20"/>
              </w:rPr>
            </w:pPr>
            <w:r>
              <w:rPr>
                <w:b/>
                <w:bCs/>
                <w:sz w:val="20"/>
                <w:szCs w:val="20"/>
              </w:rPr>
              <w:t>kJ/mol</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1</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rPr>
              <w:t>s-Ph-N</w:t>
            </w:r>
            <w:r>
              <w:rPr>
                <w:position w:val="-3"/>
                <w:sz w:val="20"/>
                <w:szCs w:val="20"/>
              </w:rPr>
              <w:t>2</w:t>
            </w:r>
            <w:r>
              <w:rPr>
                <w:sz w:val="20"/>
                <w:szCs w:val="20"/>
                <w:vertAlign w:val="superscript"/>
              </w:rPr>
              <w:t>+</w:t>
            </w:r>
            <w:r>
              <w:rPr>
                <w:sz w:val="20"/>
                <w:szCs w:val="20"/>
              </w:rPr>
              <w:t xml:space="preserve"> = s-Ph</w:t>
            </w:r>
            <w:r>
              <w:rPr>
                <w:sz w:val="20"/>
                <w:szCs w:val="20"/>
                <w:vertAlign w:val="superscript"/>
              </w:rPr>
              <w:t>+</w:t>
            </w:r>
            <w:r>
              <w:rPr>
                <w:sz w:val="20"/>
                <w:szCs w:val="20"/>
              </w:rPr>
              <w:t xml:space="preserve"> + N</w:t>
            </w:r>
            <w:r>
              <w:rPr>
                <w:position w:val="-3"/>
                <w:sz w:val="20"/>
                <w:szCs w:val="20"/>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146.51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82.64</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129.36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46.75</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2</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-61.41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-123.84</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-73.30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50.57</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3</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154.35</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91.30</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137.60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46.33</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4</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158.28</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95.37</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141.38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46.04</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5</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s-4-CH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180.96</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115.55</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163.35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47.83</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t-4-CH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165.01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104.32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152.68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48.40</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6</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s-2-HOOC-Ph-N</w:t>
            </w:r>
            <w:r>
              <w:rPr>
                <w:position w:val="-3"/>
                <w:sz w:val="20"/>
                <w:szCs w:val="20"/>
                <w:lang w:val="en-US"/>
              </w:rPr>
              <w:t>2</w:t>
            </w:r>
            <w:r>
              <w:rPr>
                <w:sz w:val="20"/>
                <w:szCs w:val="20"/>
                <w:vertAlign w:val="superscript"/>
                <w:lang w:val="en-US"/>
              </w:rPr>
              <w:t>+</w:t>
            </w:r>
            <w:r>
              <w:rPr>
                <w:sz w:val="20"/>
                <w:szCs w:val="20"/>
                <w:lang w:val="en-US"/>
              </w:rPr>
              <w:t xml:space="preserve"> = s-2-HOOC-Ph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166.04</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100.08</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149.45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49.40</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7</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s-4-HOOC-Ph-N</w:t>
            </w:r>
            <w:r>
              <w:rPr>
                <w:position w:val="-3"/>
                <w:sz w:val="20"/>
                <w:szCs w:val="20"/>
                <w:lang w:val="en-US"/>
              </w:rPr>
              <w:t>2</w:t>
            </w:r>
            <w:r>
              <w:rPr>
                <w:sz w:val="20"/>
                <w:szCs w:val="20"/>
                <w:vertAlign w:val="superscript"/>
                <w:lang w:val="en-US"/>
              </w:rPr>
              <w:t>+</w:t>
            </w:r>
            <w:r>
              <w:rPr>
                <w:sz w:val="20"/>
                <w:szCs w:val="20"/>
                <w:lang w:val="en-US"/>
              </w:rPr>
              <w:t xml:space="preserve"> = t-s-4-HOOC-Ph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148.67</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84.83</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131.52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46.72</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8</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s-4-Br-Ph-N</w:t>
            </w:r>
            <w:r>
              <w:rPr>
                <w:position w:val="-3"/>
                <w:sz w:val="20"/>
                <w:szCs w:val="20"/>
                <w:lang w:val="en-US"/>
              </w:rPr>
              <w:t>2</w:t>
            </w:r>
            <w:r>
              <w:rPr>
                <w:sz w:val="20"/>
                <w:szCs w:val="20"/>
                <w:vertAlign w:val="superscript"/>
                <w:lang w:val="en-US"/>
              </w:rPr>
              <w:t>+</w:t>
            </w:r>
            <w:r>
              <w:rPr>
                <w:sz w:val="20"/>
                <w:szCs w:val="20"/>
                <w:lang w:val="en-US"/>
              </w:rPr>
              <w:t xml:space="preserve"> = s-4-Br-Ph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165.99</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100.91</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148.44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47.56</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9</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s-2-HOOC-4-Br-Ph-N</w:t>
            </w:r>
            <w:r>
              <w:rPr>
                <w:position w:val="-3"/>
                <w:sz w:val="20"/>
                <w:szCs w:val="20"/>
                <w:lang w:val="en-US"/>
              </w:rPr>
              <w:t>2</w:t>
            </w:r>
            <w:r>
              <w:rPr>
                <w:sz w:val="20"/>
                <w:szCs w:val="20"/>
                <w:vertAlign w:val="superscript"/>
                <w:lang w:val="en-US"/>
              </w:rPr>
              <w:t>+</w:t>
            </w:r>
            <w:r>
              <w:rPr>
                <w:sz w:val="20"/>
                <w:szCs w:val="20"/>
                <w:lang w:val="en-US"/>
              </w:rPr>
              <w:t xml:space="preserve"> = s-2-HOOC-4-Br-Ph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183.66</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116.23</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166.60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50.40</w:t>
            </w:r>
          </w:p>
        </w:tc>
      </w:tr>
    </w:tbl>
    <w:p>
      <w:pPr>
        <w:pStyle w:val="Normal"/>
        <w:numPr>
          <w:ilvl w:val="2"/>
          <w:numId w:val="2"/>
        </w:numPr>
        <w:tabs>
          <w:tab w:val="left" w:pos="225" w:leader="none"/>
          <w:tab w:val="left" w:pos="510" w:leader="none"/>
        </w:tabs>
        <w:spacing w:lineRule="auto" w:line="240" w:before="0" w:after="113"/>
        <w:ind w:left="0" w:right="0" w:hanging="0"/>
        <w:jc w:val="center"/>
        <w:rPr>
          <w:b/>
          <w:b/>
          <w:bCs/>
          <w:color w:val="000000"/>
          <w:sz w:val="12"/>
          <w:szCs w:val="12"/>
        </w:rPr>
      </w:pPr>
      <w:r>
        <w:rPr>
          <w:b/>
          <w:bCs/>
          <w:color w:val="000000"/>
          <w:sz w:val="12"/>
          <w:szCs w:val="12"/>
        </w:rPr>
      </w:r>
    </w:p>
    <w:p>
      <w:pPr>
        <w:pStyle w:val="1"/>
        <w:numPr>
          <w:ilvl w:val="0"/>
          <w:numId w:val="1"/>
        </w:numPr>
        <w:ind w:left="567" w:right="0" w:hanging="0"/>
        <w:rPr/>
      </w:pPr>
      <w:bookmarkStart w:id="18" w:name="__RefHeading___Toc11502_1966729274"/>
      <w:bookmarkEnd w:id="18"/>
      <w:r>
        <w:rPr/>
        <w:t xml:space="preserve">Приложение </w:t>
      </w:r>
      <w:r>
        <w:rPr/>
        <w:t>3</w:t>
      </w:r>
      <w:r>
        <w:rPr/>
        <w:t>. Фрагментация кластерных катионов</w:t>
      </w:r>
    </w:p>
    <w:p>
      <w:pPr>
        <w:pStyle w:val="Normal"/>
        <w:tabs>
          <w:tab w:val="left" w:pos="0" w:leader="none"/>
        </w:tabs>
        <w:ind w:left="0" w:right="0" w:hanging="0"/>
        <w:jc w:val="center"/>
        <w:rPr>
          <w:b/>
          <w:b/>
          <w:bCs/>
          <w:color w:val="000000"/>
        </w:rPr>
      </w:pPr>
      <w:r>
        <w:rPr>
          <w:b/>
          <w:bCs/>
          <w:color w:val="000000"/>
        </w:rPr>
      </w:r>
    </w:p>
    <w:p>
      <w:pPr>
        <w:pStyle w:val="1"/>
        <w:numPr>
          <w:ilvl w:val="0"/>
          <w:numId w:val="1"/>
        </w:numPr>
        <w:ind w:left="567" w:right="0" w:hanging="0"/>
        <w:rPr/>
      </w:pPr>
      <w:bookmarkStart w:id="19" w:name="__RefHeading___Toc11504_1966729274"/>
      <w:bookmarkEnd w:id="19"/>
      <w:r>
        <w:rPr/>
        <w:t xml:space="preserve">Приложение </w:t>
      </w:r>
      <w:r>
        <w:rPr/>
        <w:t>4</w:t>
      </w:r>
      <w:r>
        <w:rPr/>
        <w:t xml:space="preserve">. Результаты квантовохимических расчетов структур </w:t>
      </w:r>
      <w:r>
        <w:rPr/>
        <w:t xml:space="preserve">диазониевых катионов и </w:t>
      </w:r>
      <w:r>
        <w:rPr/>
        <w:t>кластерных частиц</w:t>
      </w:r>
    </w:p>
    <w:p>
      <w:pPr>
        <w:pStyle w:val="Normal"/>
        <w:jc w:val="right"/>
        <w:rPr/>
      </w:pPr>
      <w:r>
        <w:rPr/>
      </w:r>
    </w:p>
    <w:p>
      <w:pPr>
        <w:pStyle w:val="Normal"/>
        <w:jc w:val="right"/>
        <w:rPr/>
      </w:pPr>
      <w:r>
        <w:rPr/>
        <w:t xml:space="preserve">Таблица </w:t>
      </w:r>
      <w:r>
        <w:rPr/>
        <w:t>4S.1</w:t>
      </w:r>
      <w:r>
        <w:rPr/>
        <w:t>.</w:t>
      </w:r>
    </w:p>
    <w:p>
      <w:pPr>
        <w:pStyle w:val="Normal"/>
        <w:spacing w:lineRule="auto" w:line="288"/>
        <w:jc w:val="center"/>
        <w:rPr/>
      </w:pPr>
      <w:r>
        <w:rPr/>
        <w:t xml:space="preserve">Структурные параметры диазониевых катионов в газовой фазе, рассчитанные </w:t>
      </w:r>
    </w:p>
    <w:p>
      <w:pPr>
        <w:pStyle w:val="Normal"/>
        <w:spacing w:lineRule="auto" w:line="288"/>
        <w:jc w:val="center"/>
        <w:rPr/>
      </w:pPr>
      <w:r>
        <w:rPr/>
        <w:t>методом DFT Restricted B3LYP в базисе aug-ccpVDZ</w:t>
      </w:r>
    </w:p>
    <w:tbl>
      <w:tblPr>
        <w:tblW w:w="7489" w:type="dxa"/>
        <w:jc w:val="center"/>
        <w:tblInd w:w="0"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738"/>
        <w:gridCol w:w="3512"/>
        <w:gridCol w:w="1075"/>
        <w:gridCol w:w="1025"/>
        <w:gridCol w:w="1139"/>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Cation</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1a</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1.383</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1392</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1.387</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 2, 3</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1.389</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1.364</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1.119</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1.395</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171</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1.384</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1.375</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1.116</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1.386</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172</w:t>
            </w:r>
          </w:p>
        </w:tc>
      </w:tr>
    </w:tbl>
    <w:p>
      <w:pPr>
        <w:pStyle w:val="Normal"/>
        <w:tabs>
          <w:tab w:val="left" w:pos="225" w:leader="none"/>
          <w:tab w:val="left" w:pos="510" w:leader="none"/>
        </w:tabs>
        <w:spacing w:lineRule="auto" w:line="288"/>
        <w:jc w:val="center"/>
        <w:rPr>
          <w:color w:val="000000"/>
          <w:lang w:val="en-US"/>
        </w:rPr>
      </w:pPr>
      <w:r>
        <w:rPr>
          <w:color w:val="000000"/>
          <w:lang w:val="en-US"/>
        </w:rPr>
      </w:r>
    </w:p>
    <w:p>
      <w:pPr>
        <w:pStyle w:val="Normal"/>
        <w:jc w:val="right"/>
        <w:rPr/>
      </w:pPr>
      <w:r>
        <w:rPr/>
        <w:t xml:space="preserve">Таблица </w:t>
      </w:r>
      <w:r>
        <w:rPr/>
        <w:t>4S.2</w:t>
      </w:r>
      <w:r>
        <w:rPr/>
        <w:t xml:space="preserve">. </w:t>
      </w:r>
    </w:p>
    <w:p>
      <w:pPr>
        <w:pStyle w:val="Normal"/>
        <w:spacing w:lineRule="auto" w:line="288"/>
        <w:jc w:val="center"/>
        <w:rPr/>
      </w:pPr>
      <w:r>
        <w:rPr/>
        <w:t xml:space="preserve">Структурные параметры катион-анионной пары в газовой фазе, </w:t>
      </w:r>
    </w:p>
    <w:p>
      <w:pPr>
        <w:pStyle w:val="Normal"/>
        <w:spacing w:lineRule="auto" w:line="288"/>
        <w:jc w:val="center"/>
        <w:rPr/>
      </w:pPr>
      <w:r>
        <w:rPr/>
        <w:t>рассчитанные методом DFT Restricted B3LYP в базисе 6-31G(d,p)</w:t>
      </w:r>
    </w:p>
    <w:tbl>
      <w:tblPr>
        <w:tblW w:w="9635"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738"/>
        <w:gridCol w:w="3511"/>
        <w:gridCol w:w="1078"/>
        <w:gridCol w:w="1077"/>
        <w:gridCol w:w="1077"/>
        <w:gridCol w:w="1077"/>
        <w:gridCol w:w="1077"/>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Formula</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d(O-H), 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1a</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r>
              <w:rPr>
                <w:position w:val="-3"/>
                <w:sz w:val="20"/>
                <w:szCs w:val="20"/>
              </w:rPr>
              <w:t xml:space="preserve"> </w:t>
            </w:r>
            <w:r>
              <w:rPr>
                <w:sz w:val="20"/>
                <w:szCs w:val="20"/>
              </w:rPr>
              <w:t>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1.137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2.081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2.223</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153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1.338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2.356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2.416</w:t>
            </w:r>
          </w:p>
          <w:p>
            <w:pPr>
              <w:pStyle w:val="Style28"/>
              <w:ind w:left="0" w:right="0" w:hanging="0"/>
              <w:jc w:val="center"/>
              <w:rPr>
                <w:sz w:val="20"/>
                <w:szCs w:val="20"/>
              </w:rPr>
            </w:pPr>
            <w:r>
              <w:rPr>
                <w:sz w:val="20"/>
                <w:szCs w:val="20"/>
              </w:rPr>
              <w:t>2.358*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2.483</w:t>
            </w:r>
          </w:p>
          <w:p>
            <w:pPr>
              <w:pStyle w:val="Style28"/>
              <w:ind w:left="0" w:right="0"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2.859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2.122</w:t>
            </w:r>
          </w:p>
          <w:p>
            <w:pPr>
              <w:pStyle w:val="Style28"/>
              <w:ind w:left="0" w:right="0" w:hanging="0"/>
              <w:jc w:val="center"/>
              <w:rPr>
                <w:sz w:val="20"/>
                <w:szCs w:val="20"/>
              </w:rPr>
            </w:pPr>
            <w:r>
              <w:rPr>
                <w:sz w:val="20"/>
                <w:szCs w:val="20"/>
              </w:rPr>
              <w:t>2.447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2.286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2.239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2.014</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168</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2.267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172</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2.280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1.957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TsO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2.108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w:t>
            </w:r>
          </w:p>
        </w:tc>
      </w:tr>
      <w:tr>
        <w:trPr>
          <w:trHeight w:val="446" w:hRule="atLeast"/>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position w:val="-3"/>
                <w:sz w:val="20"/>
                <w:szCs w:val="20"/>
              </w:rPr>
              <w:t xml:space="preserve"> </w:t>
            </w:r>
            <w:r>
              <w:rPr>
                <w:sz w:val="20"/>
                <w:szCs w:val="20"/>
              </w:rPr>
              <w:t>BF</w:t>
            </w:r>
            <w:r>
              <w:rPr>
                <w:sz w:val="20"/>
                <w:szCs w:val="20"/>
                <w:vertAlign w:val="subscript"/>
              </w:rPr>
              <w:t>4</w:t>
            </w:r>
            <w:r>
              <w:rPr>
                <w:position w:val="7"/>
                <w:sz w:val="20"/>
                <w:szCs w:val="20"/>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2.347**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1.911*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175</w:t>
            </w:r>
          </w:p>
        </w:tc>
      </w:tr>
    </w:tbl>
    <w:p>
      <w:pPr>
        <w:pStyle w:val="Normal"/>
        <w:tabs>
          <w:tab w:val="left" w:pos="225" w:leader="none"/>
          <w:tab w:val="left" w:pos="510" w:leader="none"/>
        </w:tabs>
        <w:spacing w:lineRule="auto" w:line="288"/>
        <w:rPr>
          <w:color w:val="000000"/>
          <w:sz w:val="20"/>
          <w:szCs w:val="20"/>
          <w:lang w:val="en-US"/>
        </w:rPr>
      </w:pPr>
      <w:r>
        <w:rPr>
          <w:color w:val="000000"/>
          <w:sz w:val="20"/>
          <w:szCs w:val="20"/>
          <w:lang w:val="en-US"/>
        </w:rPr>
        <w:t>* - F-H distance;  ** - F-O distance</w:t>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Normal"/>
        <w:tabs>
          <w:tab w:val="left" w:pos="225" w:leader="none"/>
          <w:tab w:val="left" w:pos="510" w:leader="none"/>
        </w:tabs>
        <w:ind w:left="0" w:right="0" w:hanging="0"/>
        <w:jc w:val="right"/>
        <w:rPr>
          <w:rFonts w:eastAsia="Liberation Serif" w:cs="Liberation Serif"/>
        </w:rPr>
      </w:pPr>
      <w:r>
        <w:rPr>
          <w:rFonts w:eastAsia="Liberation Serif" w:cs="Liberation Serif"/>
        </w:rPr>
        <w:t xml:space="preserve">Таблица </w:t>
      </w:r>
      <w:r>
        <w:rPr>
          <w:rFonts w:eastAsia="Liberation Serif" w:cs="Liberation Serif"/>
        </w:rPr>
        <w:t>4S.3</w:t>
      </w:r>
      <w:r>
        <w:rPr>
          <w:rFonts w:eastAsia="Liberation Serif" w:cs="Liberation Serif"/>
        </w:rPr>
        <w:t xml:space="preserve">. </w:t>
      </w:r>
    </w:p>
    <w:p>
      <w:pPr>
        <w:pStyle w:val="Normal"/>
        <w:tabs>
          <w:tab w:val="left" w:pos="225" w:leader="none"/>
          <w:tab w:val="left" w:pos="510" w:leader="none"/>
        </w:tabs>
        <w:ind w:left="0" w:right="0" w:hanging="0"/>
        <w:jc w:val="center"/>
        <w:rPr/>
      </w:pPr>
      <w:r>
        <w:rPr/>
        <w:t xml:space="preserve">Структурные параметры кластерных катионов в газовой фазе, </w:t>
      </w:r>
    </w:p>
    <w:p>
      <w:pPr>
        <w:pStyle w:val="Normal"/>
        <w:tabs>
          <w:tab w:val="left" w:pos="225" w:leader="none"/>
          <w:tab w:val="left" w:pos="510" w:leader="none"/>
        </w:tabs>
        <w:ind w:left="0" w:right="0" w:hanging="0"/>
        <w:jc w:val="center"/>
        <w:rPr/>
      </w:pPr>
      <w:r>
        <w:rPr/>
        <w:t>рассчитанные методом DFT Restricted B3LYP в базисе 6-31G(d,p)</w:t>
      </w:r>
    </w:p>
    <w:tbl>
      <w:tblPr>
        <w:tblW w:w="9635"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847"/>
        <w:gridCol w:w="3402"/>
        <w:gridCol w:w="1077"/>
        <w:gridCol w:w="1077"/>
        <w:gridCol w:w="1077"/>
        <w:gridCol w:w="1077"/>
        <w:gridCol w:w="1078"/>
      </w:tblGrid>
      <w:tr>
        <w:trPr>
          <w:tblHeader w:val="true"/>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b/>
                <w:b/>
                <w:bCs/>
                <w:sz w:val="20"/>
                <w:szCs w:val="20"/>
              </w:rPr>
            </w:pPr>
            <w:r>
              <w:rPr>
                <w:b/>
                <w:bCs/>
                <w:sz w:val="20"/>
                <w:szCs w:val="20"/>
              </w:rPr>
              <w:t>№</w:t>
            </w:r>
          </w:p>
        </w:tc>
        <w:tc>
          <w:tcPr>
            <w:tcW w:w="340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Cluster</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d(O-H), Å</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rPr>
              <w:t>1a-v1</w:t>
            </w:r>
            <w:r>
              <w:rPr>
                <w:sz w:val="20"/>
                <w:szCs w:val="20"/>
                <w:vertAlign w:val="superscript"/>
              </w:rPr>
              <w:t>*</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position w:val="-3"/>
                <w:sz w:val="20"/>
                <w:szCs w:val="20"/>
              </w:rPr>
              <w:t xml:space="preserve"> </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1.383</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2.589</w:t>
            </w:r>
          </w:p>
          <w:p>
            <w:pPr>
              <w:pStyle w:val="Style28"/>
              <w:spacing w:lineRule="auto" w:line="240"/>
              <w:ind w:left="0" w:right="0" w:hanging="0"/>
              <w:jc w:val="center"/>
              <w:rPr>
                <w:sz w:val="20"/>
                <w:szCs w:val="20"/>
              </w:rPr>
            </w:pPr>
            <w:r>
              <w:rPr>
                <w:sz w:val="20"/>
                <w:szCs w:val="20"/>
              </w:rPr>
              <w:t>2.623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2.053</w:t>
            </w:r>
          </w:p>
          <w:p>
            <w:pPr>
              <w:pStyle w:val="Style28"/>
              <w:spacing w:lineRule="auto" w:line="240"/>
              <w:ind w:left="0" w:right="0" w:hanging="0"/>
              <w:jc w:val="center"/>
              <w:rPr>
                <w:sz w:val="20"/>
                <w:szCs w:val="20"/>
              </w:rPr>
            </w:pPr>
            <w:r>
              <w:rPr>
                <w:sz w:val="20"/>
                <w:szCs w:val="20"/>
              </w:rPr>
              <w:t>2.057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177</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rPr>
              <w:t>1a-v2</w:t>
            </w:r>
            <w:r>
              <w:rPr>
                <w:sz w:val="20"/>
                <w:szCs w:val="20"/>
                <w:vertAlign w:val="superscript"/>
              </w:rPr>
              <w:t>*</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1.380</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2.739</w:t>
            </w:r>
          </w:p>
          <w:p>
            <w:pPr>
              <w:pStyle w:val="Style28"/>
              <w:spacing w:lineRule="auto" w:line="240"/>
              <w:ind w:left="0" w:right="0" w:hanging="0"/>
              <w:jc w:val="center"/>
              <w:rPr>
                <w:sz w:val="20"/>
                <w:szCs w:val="20"/>
              </w:rPr>
            </w:pPr>
            <w:r>
              <w:rPr>
                <w:sz w:val="20"/>
                <w:szCs w:val="20"/>
              </w:rPr>
              <w:t>2.587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2.139</w:t>
            </w:r>
          </w:p>
          <w:p>
            <w:pPr>
              <w:pStyle w:val="Style28"/>
              <w:spacing w:lineRule="auto" w:line="240"/>
              <w:ind w:left="0" w:right="0" w:hanging="0"/>
              <w:jc w:val="center"/>
              <w:rPr>
                <w:sz w:val="20"/>
                <w:szCs w:val="20"/>
              </w:rPr>
            </w:pPr>
            <w:r>
              <w:rPr>
                <w:sz w:val="20"/>
                <w:szCs w:val="20"/>
              </w:rPr>
              <w:t>2.038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180</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2.681</w:t>
            </w:r>
          </w:p>
          <w:p>
            <w:pPr>
              <w:pStyle w:val="Style28"/>
              <w:spacing w:lineRule="auto" w:line="240"/>
              <w:ind w:left="0" w:right="0" w:hanging="0"/>
              <w:jc w:val="center"/>
              <w:rPr>
                <w:sz w:val="20"/>
                <w:szCs w:val="20"/>
              </w:rPr>
            </w:pPr>
            <w:r>
              <w:rPr>
                <w:sz w:val="20"/>
                <w:szCs w:val="20"/>
              </w:rPr>
              <w:t>2.567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2.067</w:t>
            </w:r>
          </w:p>
          <w:p>
            <w:pPr>
              <w:pStyle w:val="Style28"/>
              <w:spacing w:lineRule="auto" w:line="240"/>
              <w:ind w:left="0" w:right="0" w:hanging="0"/>
              <w:jc w:val="center"/>
              <w:rPr>
                <w:sz w:val="20"/>
                <w:szCs w:val="20"/>
              </w:rPr>
            </w:pPr>
            <w:r>
              <w:rPr>
                <w:sz w:val="20"/>
                <w:szCs w:val="20"/>
              </w:rPr>
              <w:t>1.967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170</w:t>
            </w:r>
          </w:p>
          <w:p>
            <w:pPr>
              <w:pStyle w:val="Style28"/>
              <w:spacing w:lineRule="auto" w:line="240"/>
              <w:ind w:left="0" w:right="0" w:hanging="0"/>
              <w:jc w:val="center"/>
              <w:rPr>
                <w:sz w:val="20"/>
                <w:szCs w:val="20"/>
              </w:rPr>
            </w:pPr>
            <w:r>
              <w:rPr>
                <w:sz w:val="20"/>
                <w:szCs w:val="20"/>
              </w:rPr>
              <w:t>171</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1.113</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2.612</w:t>
            </w:r>
          </w:p>
          <w:p>
            <w:pPr>
              <w:pStyle w:val="Style28"/>
              <w:spacing w:lineRule="auto" w:line="240"/>
              <w:ind w:left="0" w:right="0" w:hanging="0"/>
              <w:jc w:val="center"/>
              <w:rPr>
                <w:sz w:val="20"/>
                <w:szCs w:val="20"/>
              </w:rPr>
            </w:pPr>
            <w:r>
              <w:rPr>
                <w:sz w:val="20"/>
                <w:szCs w:val="20"/>
              </w:rPr>
              <w:t>2.583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1.979</w:t>
            </w:r>
          </w:p>
          <w:p>
            <w:pPr>
              <w:pStyle w:val="Style28"/>
              <w:spacing w:lineRule="auto" w:line="240"/>
              <w:ind w:left="0" w:right="0" w:hanging="0"/>
              <w:jc w:val="center"/>
              <w:rPr>
                <w:sz w:val="20"/>
                <w:szCs w:val="20"/>
              </w:rPr>
            </w:pPr>
            <w:r>
              <w:rPr>
                <w:sz w:val="20"/>
                <w:szCs w:val="20"/>
              </w:rPr>
              <w:t>2.158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171</w:t>
            </w:r>
          </w:p>
          <w:p>
            <w:pPr>
              <w:pStyle w:val="Style28"/>
              <w:spacing w:lineRule="auto" w:line="240"/>
              <w:ind w:left="0" w:right="0" w:hanging="0"/>
              <w:jc w:val="center"/>
              <w:rPr>
                <w:sz w:val="20"/>
                <w:szCs w:val="20"/>
              </w:rPr>
            </w:pPr>
            <w:r>
              <w:rPr>
                <w:sz w:val="20"/>
                <w:szCs w:val="20"/>
              </w:rPr>
              <w:t>169</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2.583</w:t>
            </w:r>
          </w:p>
          <w:p>
            <w:pPr>
              <w:pStyle w:val="Style28"/>
              <w:spacing w:lineRule="auto" w:line="240"/>
              <w:ind w:left="0" w:right="0" w:hanging="0"/>
              <w:jc w:val="center"/>
              <w:rPr>
                <w:sz w:val="20"/>
                <w:szCs w:val="20"/>
              </w:rPr>
            </w:pPr>
            <w:r>
              <w:rPr>
                <w:sz w:val="20"/>
                <w:szCs w:val="20"/>
              </w:rPr>
              <w:t>2.563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2.037</w:t>
            </w:r>
          </w:p>
          <w:p>
            <w:pPr>
              <w:pStyle w:val="Style28"/>
              <w:spacing w:lineRule="auto" w:line="240"/>
              <w:ind w:left="0" w:right="0" w:hanging="0"/>
              <w:jc w:val="center"/>
              <w:rPr>
                <w:sz w:val="20"/>
                <w:szCs w:val="20"/>
              </w:rPr>
            </w:pPr>
            <w:r>
              <w:rPr>
                <w:sz w:val="20"/>
                <w:szCs w:val="20"/>
              </w:rPr>
              <w:t>2.032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177</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1.116</w:t>
            </w:r>
          </w:p>
          <w:p>
            <w:pPr>
              <w:pStyle w:val="Style28"/>
              <w:spacing w:lineRule="auto" w:line="240"/>
              <w:ind w:left="0" w:right="0"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2.558</w:t>
            </w:r>
          </w:p>
          <w:p>
            <w:pPr>
              <w:pStyle w:val="Style28"/>
              <w:spacing w:lineRule="auto" w:line="240"/>
              <w:ind w:left="0" w:right="0" w:hanging="0"/>
              <w:jc w:val="center"/>
              <w:rPr>
                <w:sz w:val="20"/>
                <w:szCs w:val="20"/>
              </w:rPr>
            </w:pPr>
            <w:r>
              <w:rPr>
                <w:sz w:val="20"/>
                <w:szCs w:val="20"/>
              </w:rPr>
              <w:t>2.726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2.108</w:t>
            </w:r>
          </w:p>
          <w:p>
            <w:pPr>
              <w:pStyle w:val="Style28"/>
              <w:spacing w:lineRule="auto" w:line="240"/>
              <w:ind w:left="0" w:right="0" w:hanging="0"/>
              <w:jc w:val="center"/>
              <w:rPr>
                <w:sz w:val="20"/>
                <w:szCs w:val="20"/>
              </w:rPr>
            </w:pPr>
            <w:r>
              <w:rPr>
                <w:sz w:val="20"/>
                <w:szCs w:val="20"/>
              </w:rPr>
              <w:t>2.017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173</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2.593</w:t>
            </w:r>
          </w:p>
          <w:p>
            <w:pPr>
              <w:pStyle w:val="Style28"/>
              <w:spacing w:lineRule="auto" w:line="240"/>
              <w:ind w:left="0" w:right="0" w:hanging="0"/>
              <w:jc w:val="center"/>
              <w:rPr>
                <w:sz w:val="20"/>
                <w:szCs w:val="20"/>
              </w:rPr>
            </w:pPr>
            <w:r>
              <w:rPr>
                <w:sz w:val="20"/>
                <w:szCs w:val="20"/>
              </w:rPr>
              <w:t>2.559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2.039</w:t>
            </w:r>
          </w:p>
          <w:p>
            <w:pPr>
              <w:pStyle w:val="Style28"/>
              <w:spacing w:lineRule="auto" w:line="240"/>
              <w:ind w:left="0" w:right="0" w:hanging="0"/>
              <w:jc w:val="center"/>
              <w:rPr>
                <w:sz w:val="20"/>
                <w:szCs w:val="20"/>
              </w:rPr>
            </w:pPr>
            <w:r>
              <w:rPr>
                <w:sz w:val="20"/>
                <w:szCs w:val="20"/>
              </w:rPr>
              <w:t>2.028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176</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1.384</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1.111</w:t>
            </w:r>
          </w:p>
          <w:p>
            <w:pPr>
              <w:pStyle w:val="Style28"/>
              <w:spacing w:lineRule="auto" w:line="240"/>
              <w:ind w:left="0" w:right="0"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2.751</w:t>
            </w:r>
          </w:p>
          <w:p>
            <w:pPr>
              <w:pStyle w:val="Style28"/>
              <w:spacing w:lineRule="auto" w:line="240"/>
              <w:ind w:left="0" w:right="0" w:hanging="0"/>
              <w:jc w:val="center"/>
              <w:rPr>
                <w:sz w:val="20"/>
                <w:szCs w:val="20"/>
              </w:rPr>
            </w:pPr>
            <w:r>
              <w:rPr>
                <w:sz w:val="20"/>
                <w:szCs w:val="20"/>
              </w:rPr>
              <w:t>2.560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2.020</w:t>
            </w:r>
          </w:p>
          <w:p>
            <w:pPr>
              <w:pStyle w:val="Style28"/>
              <w:spacing w:lineRule="auto" w:line="240"/>
              <w:ind w:left="0" w:right="0" w:hanging="0"/>
              <w:jc w:val="center"/>
              <w:rPr>
                <w:sz w:val="20"/>
                <w:szCs w:val="20"/>
              </w:rPr>
            </w:pPr>
            <w:r>
              <w:rPr>
                <w:sz w:val="20"/>
                <w:szCs w:val="20"/>
              </w:rPr>
              <w:t>2.121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179</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1.367</w:t>
            </w:r>
          </w:p>
          <w:p>
            <w:pPr>
              <w:pStyle w:val="Style28"/>
              <w:spacing w:lineRule="auto" w:line="240"/>
              <w:ind w:left="0" w:right="0" w:hanging="0"/>
              <w:jc w:val="center"/>
              <w:rPr>
                <w:sz w:val="20"/>
                <w:szCs w:val="20"/>
              </w:rPr>
            </w:pPr>
            <w:r>
              <w:rPr>
                <w:sz w:val="20"/>
                <w:szCs w:val="20"/>
              </w:rPr>
              <w:t>1.366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1.119</w:t>
            </w:r>
          </w:p>
          <w:p>
            <w:pPr>
              <w:pStyle w:val="Style28"/>
              <w:spacing w:lineRule="auto" w:line="240"/>
              <w:ind w:left="0" w:right="0"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2.651</w:t>
            </w:r>
          </w:p>
          <w:p>
            <w:pPr>
              <w:pStyle w:val="Style28"/>
              <w:spacing w:lineRule="auto" w:line="240"/>
              <w:ind w:left="0" w:right="0" w:hanging="0"/>
              <w:jc w:val="center"/>
              <w:rPr>
                <w:sz w:val="20"/>
                <w:szCs w:val="20"/>
              </w:rPr>
            </w:pPr>
            <w:r>
              <w:rPr>
                <w:sz w:val="20"/>
                <w:szCs w:val="20"/>
              </w:rPr>
              <w:t>2.625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2.036</w:t>
            </w:r>
          </w:p>
          <w:p>
            <w:pPr>
              <w:pStyle w:val="Style28"/>
              <w:spacing w:lineRule="auto" w:line="240"/>
              <w:ind w:left="0" w:right="0" w:hanging="0"/>
              <w:jc w:val="center"/>
              <w:rPr>
                <w:sz w:val="20"/>
                <w:szCs w:val="20"/>
              </w:rPr>
            </w:pPr>
            <w:r>
              <w:rPr>
                <w:sz w:val="20"/>
                <w:szCs w:val="20"/>
              </w:rPr>
              <w:t>2.040</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178</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1.367</w:t>
            </w:r>
          </w:p>
          <w:p>
            <w:pPr>
              <w:pStyle w:val="Style28"/>
              <w:spacing w:lineRule="auto" w:line="240"/>
              <w:ind w:left="0" w:right="0" w:hanging="0"/>
              <w:jc w:val="center"/>
              <w:rPr>
                <w:sz w:val="20"/>
                <w:szCs w:val="20"/>
              </w:rPr>
            </w:pPr>
            <w:r>
              <w:rPr>
                <w:sz w:val="20"/>
                <w:szCs w:val="20"/>
              </w:rPr>
              <w:t>1.364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1.119</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2.626</w:t>
            </w:r>
          </w:p>
          <w:p>
            <w:pPr>
              <w:pStyle w:val="Style28"/>
              <w:spacing w:lineRule="auto" w:line="240"/>
              <w:ind w:left="0" w:right="0" w:hanging="0"/>
              <w:jc w:val="center"/>
              <w:rPr>
                <w:sz w:val="20"/>
                <w:szCs w:val="20"/>
              </w:rPr>
            </w:pPr>
            <w:r>
              <w:rPr>
                <w:sz w:val="20"/>
                <w:szCs w:val="20"/>
              </w:rPr>
              <w:t>2.697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2.026</w:t>
            </w:r>
          </w:p>
          <w:p>
            <w:pPr>
              <w:pStyle w:val="Style28"/>
              <w:spacing w:lineRule="auto" w:line="240"/>
              <w:ind w:left="0" w:right="0" w:hanging="0"/>
              <w:jc w:val="center"/>
              <w:rPr>
                <w:sz w:val="20"/>
                <w:szCs w:val="20"/>
              </w:rPr>
            </w:pPr>
            <w:r>
              <w:rPr>
                <w:sz w:val="20"/>
                <w:szCs w:val="20"/>
              </w:rPr>
              <w:t>2.187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1.392</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2.594</w:t>
            </w:r>
          </w:p>
          <w:p>
            <w:pPr>
              <w:pStyle w:val="Style28"/>
              <w:spacing w:lineRule="auto" w:line="240"/>
              <w:ind w:left="0" w:right="0" w:hanging="0"/>
              <w:jc w:val="center"/>
              <w:rPr>
                <w:sz w:val="20"/>
                <w:szCs w:val="20"/>
              </w:rPr>
            </w:pPr>
            <w:r>
              <w:rPr>
                <w:sz w:val="20"/>
                <w:szCs w:val="20"/>
              </w:rPr>
              <w:t>2.710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2.067</w:t>
            </w:r>
          </w:p>
          <w:p>
            <w:pPr>
              <w:pStyle w:val="Style28"/>
              <w:spacing w:lineRule="auto" w:line="240"/>
              <w:ind w:left="0" w:right="0" w:hanging="0"/>
              <w:jc w:val="center"/>
              <w:rPr>
                <w:sz w:val="20"/>
                <w:szCs w:val="20"/>
              </w:rPr>
            </w:pPr>
            <w:r>
              <w:rPr>
                <w:sz w:val="20"/>
                <w:szCs w:val="20"/>
              </w:rPr>
              <w:t>1.981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172</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1.113</w:t>
            </w:r>
          </w:p>
          <w:p>
            <w:pPr>
              <w:pStyle w:val="Style28"/>
              <w:spacing w:lineRule="auto" w:line="240"/>
              <w:ind w:left="0" w:right="0"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2.631</w:t>
            </w:r>
          </w:p>
          <w:p>
            <w:pPr>
              <w:pStyle w:val="Style28"/>
              <w:spacing w:lineRule="auto" w:line="240"/>
              <w:ind w:left="0" w:right="0" w:hanging="0"/>
              <w:jc w:val="center"/>
              <w:rPr>
                <w:sz w:val="20"/>
                <w:szCs w:val="20"/>
              </w:rPr>
            </w:pPr>
            <w:r>
              <w:rPr>
                <w:sz w:val="20"/>
                <w:szCs w:val="20"/>
              </w:rPr>
              <w:t>2.616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1.995</w:t>
            </w:r>
          </w:p>
          <w:p>
            <w:pPr>
              <w:pStyle w:val="Style28"/>
              <w:spacing w:lineRule="auto" w:line="240"/>
              <w:ind w:left="0" w:right="0" w:hanging="0"/>
              <w:jc w:val="center"/>
              <w:rPr>
                <w:sz w:val="20"/>
                <w:szCs w:val="20"/>
              </w:rPr>
            </w:pPr>
            <w:r>
              <w:rPr>
                <w:sz w:val="20"/>
                <w:szCs w:val="20"/>
              </w:rPr>
              <w:t>2.170</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171</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2.606</w:t>
            </w:r>
          </w:p>
          <w:p>
            <w:pPr>
              <w:pStyle w:val="Style28"/>
              <w:spacing w:lineRule="auto" w:line="240"/>
              <w:ind w:left="0" w:right="0" w:hanging="0"/>
              <w:jc w:val="center"/>
              <w:rPr>
                <w:sz w:val="20"/>
                <w:szCs w:val="20"/>
              </w:rPr>
            </w:pPr>
            <w:r>
              <w:rPr>
                <w:sz w:val="20"/>
                <w:szCs w:val="20"/>
              </w:rPr>
              <w:t>2.591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2.059</w:t>
            </w:r>
          </w:p>
          <w:p>
            <w:pPr>
              <w:pStyle w:val="Style28"/>
              <w:spacing w:lineRule="auto" w:line="240"/>
              <w:ind w:left="0" w:right="0" w:hanging="0"/>
              <w:jc w:val="center"/>
              <w:rPr>
                <w:sz w:val="20"/>
                <w:szCs w:val="20"/>
              </w:rPr>
            </w:pPr>
            <w:r>
              <w:rPr>
                <w:sz w:val="20"/>
                <w:szCs w:val="20"/>
              </w:rPr>
              <w:t>2.053</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177</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1.381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2.532</w:t>
            </w:r>
          </w:p>
          <w:p>
            <w:pPr>
              <w:pStyle w:val="Style28"/>
              <w:spacing w:lineRule="auto" w:line="240"/>
              <w:ind w:left="0" w:right="0" w:hanging="0"/>
              <w:jc w:val="center"/>
              <w:rPr>
                <w:sz w:val="20"/>
                <w:szCs w:val="20"/>
              </w:rPr>
            </w:pPr>
            <w:r>
              <w:rPr>
                <w:sz w:val="20"/>
                <w:szCs w:val="20"/>
              </w:rPr>
              <w:t>2.706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2.047</w:t>
            </w:r>
          </w:p>
          <w:p>
            <w:pPr>
              <w:pStyle w:val="Style28"/>
              <w:spacing w:lineRule="auto" w:line="240"/>
              <w:ind w:left="0" w:right="0" w:hanging="0"/>
              <w:jc w:val="center"/>
              <w:rPr>
                <w:sz w:val="20"/>
                <w:szCs w:val="20"/>
              </w:rPr>
            </w:pPr>
            <w:r>
              <w:rPr>
                <w:sz w:val="20"/>
                <w:szCs w:val="20"/>
              </w:rPr>
              <w:t>2.191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1.379</w:t>
            </w:r>
          </w:p>
          <w:p>
            <w:pPr>
              <w:pStyle w:val="Style28"/>
              <w:spacing w:lineRule="auto" w:line="240"/>
              <w:ind w:left="0" w:right="0" w:hanging="0"/>
              <w:jc w:val="center"/>
              <w:rPr>
                <w:sz w:val="20"/>
                <w:szCs w:val="20"/>
              </w:rPr>
            </w:pPr>
            <w:r>
              <w:rPr>
                <w:sz w:val="20"/>
                <w:szCs w:val="20"/>
              </w:rPr>
              <w:t>1.378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1.117</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2.620</w:t>
            </w:r>
          </w:p>
          <w:p>
            <w:pPr>
              <w:pStyle w:val="Style28"/>
              <w:spacing w:lineRule="auto" w:line="240"/>
              <w:ind w:left="0" w:right="0" w:hanging="0"/>
              <w:jc w:val="center"/>
              <w:rPr>
                <w:sz w:val="20"/>
                <w:szCs w:val="20"/>
              </w:rPr>
            </w:pPr>
            <w:r>
              <w:rPr>
                <w:sz w:val="20"/>
                <w:szCs w:val="20"/>
              </w:rPr>
              <w:t>2.597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2.038</w:t>
            </w:r>
          </w:p>
          <w:p>
            <w:pPr>
              <w:pStyle w:val="Style28"/>
              <w:spacing w:lineRule="auto" w:line="240"/>
              <w:ind w:left="0" w:right="0" w:hanging="0"/>
              <w:jc w:val="center"/>
              <w:rPr>
                <w:sz w:val="20"/>
                <w:szCs w:val="20"/>
              </w:rPr>
            </w:pPr>
            <w:r>
              <w:rPr>
                <w:sz w:val="20"/>
                <w:szCs w:val="20"/>
              </w:rPr>
              <w:t>2.035</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177</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1.375</w:t>
            </w:r>
          </w:p>
          <w:p>
            <w:pPr>
              <w:pStyle w:val="Style28"/>
              <w:spacing w:lineRule="auto" w:line="240"/>
              <w:ind w:left="0" w:right="0" w:hanging="0"/>
              <w:jc w:val="center"/>
              <w:rPr>
                <w:sz w:val="20"/>
                <w:szCs w:val="20"/>
              </w:rPr>
            </w:pPr>
            <w:r>
              <w:rPr>
                <w:sz w:val="20"/>
                <w:szCs w:val="20"/>
              </w:rPr>
              <w:t>1.379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2.710</w:t>
            </w:r>
          </w:p>
          <w:p>
            <w:pPr>
              <w:pStyle w:val="Style28"/>
              <w:spacing w:lineRule="auto" w:line="240"/>
              <w:ind w:left="0" w:right="0" w:hanging="0"/>
              <w:jc w:val="center"/>
              <w:rPr>
                <w:sz w:val="20"/>
                <w:szCs w:val="20"/>
              </w:rPr>
            </w:pPr>
            <w:r>
              <w:rPr>
                <w:sz w:val="20"/>
                <w:szCs w:val="20"/>
              </w:rPr>
              <w:t>2.594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2.127</w:t>
            </w:r>
          </w:p>
          <w:p>
            <w:pPr>
              <w:pStyle w:val="Style28"/>
              <w:spacing w:lineRule="auto" w:line="240"/>
              <w:ind w:left="0" w:right="0" w:hanging="0"/>
              <w:jc w:val="center"/>
              <w:rPr>
                <w:sz w:val="20"/>
                <w:szCs w:val="20"/>
              </w:rPr>
            </w:pPr>
            <w:r>
              <w:rPr>
                <w:sz w:val="20"/>
                <w:szCs w:val="20"/>
              </w:rPr>
              <w:t>2.022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180</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2.722</w:t>
            </w:r>
          </w:p>
          <w:p>
            <w:pPr>
              <w:pStyle w:val="Style28"/>
              <w:spacing w:lineRule="auto" w:line="240"/>
              <w:ind w:left="0" w:right="0" w:hanging="0"/>
              <w:jc w:val="center"/>
              <w:rPr>
                <w:sz w:val="20"/>
                <w:szCs w:val="20"/>
              </w:rPr>
            </w:pPr>
            <w:r>
              <w:rPr>
                <w:sz w:val="20"/>
                <w:szCs w:val="20"/>
              </w:rPr>
              <w:t>2.629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1.977</w:t>
            </w:r>
          </w:p>
          <w:p>
            <w:pPr>
              <w:pStyle w:val="Style28"/>
              <w:spacing w:lineRule="auto" w:line="240"/>
              <w:ind w:left="0" w:right="0" w:hanging="0"/>
              <w:jc w:val="center"/>
              <w:rPr>
                <w:sz w:val="20"/>
                <w:szCs w:val="20"/>
              </w:rPr>
            </w:pPr>
            <w:r>
              <w:rPr>
                <w:sz w:val="20"/>
                <w:szCs w:val="20"/>
              </w:rPr>
              <w:t>2.039</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173</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1.381</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2.635</w:t>
            </w:r>
          </w:p>
          <w:p>
            <w:pPr>
              <w:pStyle w:val="Style28"/>
              <w:spacing w:lineRule="auto" w:line="240"/>
              <w:ind w:left="0" w:right="0" w:hanging="0"/>
              <w:jc w:val="center"/>
              <w:rPr>
                <w:sz w:val="20"/>
                <w:szCs w:val="20"/>
              </w:rPr>
            </w:pPr>
            <w:r>
              <w:rPr>
                <w:sz w:val="20"/>
                <w:szCs w:val="20"/>
              </w:rPr>
              <w:t>2.665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1.981</w:t>
            </w:r>
          </w:p>
          <w:p>
            <w:pPr>
              <w:pStyle w:val="Style28"/>
              <w:spacing w:lineRule="auto" w:line="240"/>
              <w:ind w:left="0" w:right="0" w:hanging="0"/>
              <w:jc w:val="center"/>
              <w:rPr>
                <w:sz w:val="20"/>
                <w:szCs w:val="20"/>
              </w:rPr>
            </w:pPr>
            <w:r>
              <w:rPr>
                <w:sz w:val="20"/>
                <w:szCs w:val="20"/>
              </w:rPr>
              <w:t>2.129</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172</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TsO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1.394</w:t>
            </w:r>
          </w:p>
          <w:p>
            <w:pPr>
              <w:pStyle w:val="Style28"/>
              <w:spacing w:lineRule="auto" w:line="240"/>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1.117</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2.471</w:t>
            </w:r>
          </w:p>
          <w:p>
            <w:pPr>
              <w:pStyle w:val="Style28"/>
              <w:spacing w:lineRule="auto" w:line="240"/>
              <w:ind w:left="0" w:right="0" w:hanging="0"/>
              <w:jc w:val="center"/>
              <w:rPr>
                <w:sz w:val="20"/>
                <w:szCs w:val="20"/>
              </w:rPr>
            </w:pPr>
            <w:r>
              <w:rPr>
                <w:sz w:val="20"/>
                <w:szCs w:val="20"/>
              </w:rPr>
              <w:t>2.463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2.008</w:t>
            </w:r>
          </w:p>
          <w:p>
            <w:pPr>
              <w:pStyle w:val="Style28"/>
              <w:spacing w:lineRule="auto" w:line="240"/>
              <w:ind w:left="0" w:right="0" w:hanging="0"/>
              <w:jc w:val="center"/>
              <w:rPr>
                <w:sz w:val="20"/>
                <w:szCs w:val="20"/>
              </w:rPr>
            </w:pPr>
            <w:r>
              <w:rPr>
                <w:sz w:val="20"/>
                <w:szCs w:val="20"/>
              </w:rPr>
              <w:t>2.002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170</w:t>
            </w:r>
          </w:p>
          <w:p>
            <w:pPr>
              <w:pStyle w:val="Style28"/>
              <w:spacing w:lineRule="auto" w:line="240"/>
              <w:ind w:left="0" w:right="0" w:hanging="0"/>
              <w:jc w:val="center"/>
              <w:rPr>
                <w:sz w:val="20"/>
                <w:szCs w:val="20"/>
              </w:rPr>
            </w:pPr>
            <w:r>
              <w:rPr>
                <w:sz w:val="20"/>
                <w:szCs w:val="20"/>
              </w:rPr>
              <w:t>170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1.125</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2.224</w:t>
            </w:r>
          </w:p>
          <w:p>
            <w:pPr>
              <w:pStyle w:val="Style28"/>
              <w:spacing w:lineRule="auto" w:line="240"/>
              <w:ind w:left="0" w:right="0" w:hanging="0"/>
              <w:jc w:val="center"/>
              <w:rPr>
                <w:sz w:val="20"/>
                <w:szCs w:val="20"/>
              </w:rPr>
            </w:pPr>
            <w:r>
              <w:rPr>
                <w:sz w:val="20"/>
                <w:szCs w:val="20"/>
              </w:rPr>
              <w:t>2.393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2.193</w:t>
            </w:r>
          </w:p>
          <w:p>
            <w:pPr>
              <w:pStyle w:val="Style28"/>
              <w:spacing w:lineRule="auto" w:line="240"/>
              <w:ind w:left="0" w:right="0" w:hanging="0"/>
              <w:jc w:val="center"/>
              <w:rPr>
                <w:sz w:val="20"/>
                <w:szCs w:val="20"/>
              </w:rPr>
            </w:pPr>
            <w:r>
              <w:rPr>
                <w:sz w:val="20"/>
                <w:szCs w:val="20"/>
              </w:rPr>
              <w:t>1.992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161</w:t>
            </w:r>
          </w:p>
          <w:p>
            <w:pPr>
              <w:pStyle w:val="Style28"/>
              <w:spacing w:lineRule="auto" w:line="240"/>
              <w:ind w:left="0" w:right="0" w:hanging="0"/>
              <w:jc w:val="center"/>
              <w:rPr>
                <w:sz w:val="20"/>
                <w:szCs w:val="20"/>
              </w:rPr>
            </w:pPr>
            <w:r>
              <w:rPr>
                <w:sz w:val="20"/>
                <w:szCs w:val="20"/>
              </w:rPr>
              <w:t>176</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BF</w:t>
            </w:r>
            <w:r>
              <w:rPr>
                <w:sz w:val="20"/>
                <w:szCs w:val="20"/>
                <w:vertAlign w:val="subscript"/>
              </w:rPr>
              <w:t>4</w:t>
            </w:r>
            <w:r>
              <w:rPr>
                <w:position w:val="7"/>
                <w:sz w:val="20"/>
                <w:szCs w:val="2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2.582</w:t>
            </w:r>
          </w:p>
          <w:p>
            <w:pPr>
              <w:pStyle w:val="Style28"/>
              <w:spacing w:lineRule="auto" w:line="240"/>
              <w:ind w:left="0" w:right="0" w:hanging="0"/>
              <w:jc w:val="center"/>
              <w:rPr>
                <w:sz w:val="20"/>
                <w:szCs w:val="20"/>
              </w:rPr>
            </w:pPr>
            <w:r>
              <w:rPr>
                <w:sz w:val="20"/>
                <w:szCs w:val="20"/>
              </w:rPr>
              <w:t>2.584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pPr>
            <w:r>
              <w:rPr>
                <w:sz w:val="20"/>
                <w:szCs w:val="20"/>
              </w:rPr>
              <w:t>2.096</w:t>
            </w:r>
            <w:r>
              <w:rPr>
                <w:sz w:val="20"/>
                <w:szCs w:val="20"/>
                <w:vertAlign w:val="superscript"/>
              </w:rPr>
              <w:t>**</w:t>
            </w:r>
          </w:p>
          <w:p>
            <w:pPr>
              <w:pStyle w:val="Style28"/>
              <w:spacing w:lineRule="auto" w:line="240"/>
              <w:ind w:left="0" w:right="0" w:hanging="0"/>
              <w:jc w:val="center"/>
              <w:rPr/>
            </w:pPr>
            <w:r>
              <w:rPr>
                <w:sz w:val="20"/>
                <w:szCs w:val="20"/>
              </w:rPr>
              <w:t>2.096</w:t>
            </w:r>
            <w:r>
              <w:rPr>
                <w:sz w:val="20"/>
                <w:szCs w:val="20"/>
                <w:vertAlign w:val="superscript"/>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178</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2.609</w:t>
            </w:r>
          </w:p>
          <w:p>
            <w:pPr>
              <w:pStyle w:val="Style28"/>
              <w:spacing w:lineRule="auto" w:line="240"/>
              <w:ind w:left="0" w:right="0" w:hanging="0"/>
              <w:jc w:val="center"/>
              <w:rPr>
                <w:sz w:val="20"/>
                <w:szCs w:val="20"/>
              </w:rPr>
            </w:pPr>
            <w:r>
              <w:rPr>
                <w:sz w:val="20"/>
                <w:szCs w:val="20"/>
              </w:rPr>
              <w:t>2.630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pPr>
            <w:r>
              <w:rPr>
                <w:sz w:val="20"/>
                <w:szCs w:val="20"/>
              </w:rPr>
              <w:t>2.055</w:t>
            </w:r>
            <w:r>
              <w:rPr>
                <w:sz w:val="20"/>
                <w:szCs w:val="20"/>
                <w:vertAlign w:val="superscript"/>
              </w:rPr>
              <w:t>**</w:t>
            </w:r>
          </w:p>
          <w:p>
            <w:pPr>
              <w:pStyle w:val="Style28"/>
              <w:spacing w:lineRule="auto" w:line="240"/>
              <w:ind w:left="0" w:right="0" w:hanging="0"/>
              <w:jc w:val="center"/>
              <w:rPr/>
            </w:pPr>
            <w:r>
              <w:rPr>
                <w:sz w:val="20"/>
                <w:szCs w:val="20"/>
              </w:rPr>
              <w:t>2.066</w:t>
            </w:r>
            <w:r>
              <w:rPr>
                <w:sz w:val="20"/>
                <w:szCs w:val="20"/>
                <w:vertAlign w:val="superscript"/>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178</w:t>
            </w:r>
          </w:p>
        </w:tc>
      </w:tr>
    </w:tbl>
    <w:p>
      <w:pPr>
        <w:pStyle w:val="Normal"/>
        <w:tabs>
          <w:tab w:val="left" w:pos="563" w:leader="none"/>
        </w:tabs>
        <w:spacing w:lineRule="auto" w:line="288"/>
        <w:ind w:left="0" w:right="0" w:hanging="0"/>
        <w:jc w:val="center"/>
        <w:rPr>
          <w:sz w:val="20"/>
          <w:szCs w:val="20"/>
        </w:rPr>
      </w:pPr>
      <w:r>
        <w:rPr>
          <w:sz w:val="20"/>
          <w:szCs w:val="20"/>
        </w:rPr>
        <w:t>* - v1 - несимметричное, v2 - симметричное строение;      ** - приведена наименьшая дистанция d(F-H)</w:t>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Normal"/>
        <w:jc w:val="right"/>
        <w:rPr/>
      </w:pPr>
      <w:r>
        <w:rPr/>
        <w:t xml:space="preserve">Таблица </w:t>
      </w:r>
      <w:r>
        <w:rPr/>
        <w:t>4S.4</w:t>
      </w:r>
      <w:r>
        <w:rPr/>
        <w:t>.</w:t>
      </w:r>
    </w:p>
    <w:p>
      <w:pPr>
        <w:pStyle w:val="Normal"/>
        <w:spacing w:lineRule="auto" w:line="288"/>
        <w:jc w:val="center"/>
        <w:rPr/>
      </w:pPr>
      <w:r>
        <w:rPr/>
        <w:t>Пространственное строение кластерных катионов</w:t>
      </w:r>
      <w:r>
        <w:rPr/>
        <w:t xml:space="preserve"> в газовой фазе, рассчитанные </w:t>
      </w:r>
    </w:p>
    <w:p>
      <w:pPr>
        <w:pStyle w:val="Normal"/>
        <w:tabs>
          <w:tab w:val="left" w:pos="0" w:leader="none"/>
        </w:tabs>
        <w:spacing w:lineRule="auto" w:line="288"/>
        <w:ind w:left="0" w:right="0" w:hanging="0"/>
        <w:jc w:val="center"/>
        <w:rPr>
          <w:b w:val="false"/>
          <w:b w:val="false"/>
          <w:bCs w:val="false"/>
          <w:color w:val="000000"/>
        </w:rPr>
      </w:pPr>
      <w:r>
        <w:rPr>
          <w:b w:val="false"/>
          <w:bCs w:val="false"/>
          <w:color w:val="000000"/>
        </w:rPr>
        <w:t>методом DFT Restricted B3LYP в базисе aug-ccpVDZ</w:t>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135"/>
        <w:gridCol w:w="684"/>
        <w:gridCol w:w="4029"/>
        <w:gridCol w:w="790"/>
      </w:tblGrid>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40255"/>
                  <wp:effectExtent l="0" t="0" r="0" b="0"/>
                  <wp:docPr id="36"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8" descr=""/>
                          <pic:cNvPicPr>
                            <a:picLocks noChangeAspect="1" noChangeArrowheads="1"/>
                          </pic:cNvPicPr>
                        </pic:nvPicPr>
                        <pic:blipFill>
                          <a:blip r:embed="rId41"/>
                          <a:stretch>
                            <a:fillRect/>
                          </a:stretch>
                        </pic:blipFill>
                        <pic:spPr bwMode="auto">
                          <a:xfrm>
                            <a:off x="0" y="0"/>
                            <a:ext cx="2557780" cy="204025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1a-v1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732280"/>
                  <wp:effectExtent l="0" t="0" r="0" b="0"/>
                  <wp:docPr id="37"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1" descr=""/>
                          <pic:cNvPicPr>
                            <a:picLocks noChangeAspect="1" noChangeArrowheads="1"/>
                          </pic:cNvPicPr>
                        </pic:nvPicPr>
                        <pic:blipFill>
                          <a:blip r:embed="rId42"/>
                          <a:stretch>
                            <a:fillRect/>
                          </a:stretch>
                        </pic:blipFill>
                        <pic:spPr bwMode="auto">
                          <a:xfrm>
                            <a:off x="0" y="0"/>
                            <a:ext cx="2489835" cy="173228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1a-v2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985645"/>
                  <wp:effectExtent l="0" t="0" r="0" b="0"/>
                  <wp:docPr id="38"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2" descr=""/>
                          <pic:cNvPicPr>
                            <a:picLocks noChangeAspect="1" noChangeArrowheads="1"/>
                          </pic:cNvPicPr>
                        </pic:nvPicPr>
                        <pic:blipFill>
                          <a:blip r:embed="rId43"/>
                          <a:stretch>
                            <a:fillRect/>
                          </a:stretch>
                        </pic:blipFill>
                        <pic:spPr bwMode="auto">
                          <a:xfrm>
                            <a:off x="0" y="0"/>
                            <a:ext cx="2557780" cy="198564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1b-v1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69720"/>
                  <wp:effectExtent l="0" t="0" r="0" b="0"/>
                  <wp:docPr id="39"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3" descr=""/>
                          <pic:cNvPicPr>
                            <a:picLocks noChangeAspect="1" noChangeArrowheads="1"/>
                          </pic:cNvPicPr>
                        </pic:nvPicPr>
                        <pic:blipFill>
                          <a:blip r:embed="rId44"/>
                          <a:stretch>
                            <a:fillRect/>
                          </a:stretch>
                        </pic:blipFill>
                        <pic:spPr bwMode="auto">
                          <a:xfrm>
                            <a:off x="0" y="0"/>
                            <a:ext cx="2489835" cy="156972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1b-v2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155190"/>
                  <wp:effectExtent l="0" t="0" r="0" b="0"/>
                  <wp:docPr id="40"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4" descr=""/>
                          <pic:cNvPicPr>
                            <a:picLocks noChangeAspect="1" noChangeArrowheads="1"/>
                          </pic:cNvPicPr>
                        </pic:nvPicPr>
                        <pic:blipFill>
                          <a:blip r:embed="rId45"/>
                          <a:stretch>
                            <a:fillRect/>
                          </a:stretch>
                        </pic:blipFill>
                        <pic:spPr bwMode="auto">
                          <a:xfrm>
                            <a:off x="0" y="0"/>
                            <a:ext cx="2557780" cy="215519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1c-v1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612265"/>
                  <wp:effectExtent l="0" t="0" r="0" b="0"/>
                  <wp:docPr id="41"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5" descr=""/>
                          <pic:cNvPicPr>
                            <a:picLocks noChangeAspect="1" noChangeArrowheads="1"/>
                          </pic:cNvPicPr>
                        </pic:nvPicPr>
                        <pic:blipFill>
                          <a:blip r:embed="rId46"/>
                          <a:stretch>
                            <a:fillRect/>
                          </a:stretch>
                        </pic:blipFill>
                        <pic:spPr bwMode="auto">
                          <a:xfrm>
                            <a:off x="0" y="0"/>
                            <a:ext cx="2489835" cy="161226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1c-v2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09775"/>
                  <wp:effectExtent l="0" t="0" r="0" b="0"/>
                  <wp:docPr id="42"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6" descr=""/>
                          <pic:cNvPicPr>
                            <a:picLocks noChangeAspect="1" noChangeArrowheads="1"/>
                          </pic:cNvPicPr>
                        </pic:nvPicPr>
                        <pic:blipFill>
                          <a:blip r:embed="rId47"/>
                          <a:stretch>
                            <a:fillRect/>
                          </a:stretch>
                        </pic:blipFill>
                        <pic:spPr bwMode="auto">
                          <a:xfrm>
                            <a:off x="0" y="0"/>
                            <a:ext cx="2557780" cy="20097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1d-v1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974850"/>
                  <wp:effectExtent l="0" t="0" r="0" b="0"/>
                  <wp:docPr id="43"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37" descr=""/>
                          <pic:cNvPicPr>
                            <a:picLocks noChangeAspect="1" noChangeArrowheads="1"/>
                          </pic:cNvPicPr>
                        </pic:nvPicPr>
                        <pic:blipFill>
                          <a:blip r:embed="rId48"/>
                          <a:stretch>
                            <a:fillRect/>
                          </a:stretch>
                        </pic:blipFill>
                        <pic:spPr bwMode="auto">
                          <a:xfrm>
                            <a:off x="0" y="0"/>
                            <a:ext cx="2489835" cy="197485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1d-v2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579880"/>
                  <wp:effectExtent l="0" t="0" r="0" b="0"/>
                  <wp:docPr id="44"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38" descr=""/>
                          <pic:cNvPicPr>
                            <a:picLocks noChangeAspect="1" noChangeArrowheads="1"/>
                          </pic:cNvPicPr>
                        </pic:nvPicPr>
                        <pic:blipFill>
                          <a:blip r:embed="rId49"/>
                          <a:stretch>
                            <a:fillRect/>
                          </a:stretch>
                        </pic:blipFill>
                        <pic:spPr bwMode="auto">
                          <a:xfrm>
                            <a:off x="0" y="0"/>
                            <a:ext cx="2557780" cy="157988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1e-v1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2219960"/>
                  <wp:effectExtent l="0" t="0" r="0" b="0"/>
                  <wp:docPr id="45"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39" descr=""/>
                          <pic:cNvPicPr>
                            <a:picLocks noChangeAspect="1" noChangeArrowheads="1"/>
                          </pic:cNvPicPr>
                        </pic:nvPicPr>
                        <pic:blipFill>
                          <a:blip r:embed="rId50"/>
                          <a:stretch>
                            <a:fillRect/>
                          </a:stretch>
                        </pic:blipFill>
                        <pic:spPr bwMode="auto">
                          <a:xfrm>
                            <a:off x="0" y="0"/>
                            <a:ext cx="2489835" cy="2219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1e-v2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51685"/>
                  <wp:effectExtent l="0" t="0" r="0" b="0"/>
                  <wp:docPr id="46"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0" descr=""/>
                          <pic:cNvPicPr>
                            <a:picLocks noChangeAspect="1" noChangeArrowheads="1"/>
                          </pic:cNvPicPr>
                        </pic:nvPicPr>
                        <pic:blipFill>
                          <a:blip r:embed="rId51"/>
                          <a:stretch>
                            <a:fillRect/>
                          </a:stretch>
                        </pic:blipFill>
                        <pic:spPr bwMode="auto">
                          <a:xfrm>
                            <a:off x="0" y="0"/>
                            <a:ext cx="2557780" cy="205168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1f-v1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765300"/>
                  <wp:effectExtent l="0" t="0" r="0" b="0"/>
                  <wp:docPr id="47"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1" descr=""/>
                          <pic:cNvPicPr>
                            <a:picLocks noChangeAspect="1" noChangeArrowheads="1"/>
                          </pic:cNvPicPr>
                        </pic:nvPicPr>
                        <pic:blipFill>
                          <a:blip r:embed="rId52"/>
                          <a:stretch>
                            <a:fillRect/>
                          </a:stretch>
                        </pic:blipFill>
                        <pic:spPr bwMode="auto">
                          <a:xfrm>
                            <a:off x="0" y="0"/>
                            <a:ext cx="2489835" cy="176530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1f-v2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840230"/>
                  <wp:effectExtent l="0" t="0" r="0" b="0"/>
                  <wp:docPr id="48"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2" descr=""/>
                          <pic:cNvPicPr>
                            <a:picLocks noChangeAspect="1" noChangeArrowheads="1"/>
                          </pic:cNvPicPr>
                        </pic:nvPicPr>
                        <pic:blipFill>
                          <a:blip r:embed="rId53"/>
                          <a:stretch>
                            <a:fillRect/>
                          </a:stretch>
                        </pic:blipFill>
                        <pic:spPr bwMode="auto">
                          <a:xfrm>
                            <a:off x="0" y="0"/>
                            <a:ext cx="2557780" cy="184023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1g-v1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457960"/>
                  <wp:effectExtent l="0" t="0" r="0" b="0"/>
                  <wp:docPr id="49"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3" descr=""/>
                          <pic:cNvPicPr>
                            <a:picLocks noChangeAspect="1" noChangeArrowheads="1"/>
                          </pic:cNvPicPr>
                        </pic:nvPicPr>
                        <pic:blipFill>
                          <a:blip r:embed="rId54"/>
                          <a:stretch>
                            <a:fillRect/>
                          </a:stretch>
                        </pic:blipFill>
                        <pic:spPr bwMode="auto">
                          <a:xfrm>
                            <a:off x="0" y="0"/>
                            <a:ext cx="2489835" cy="1457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1g-v2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362075"/>
                  <wp:effectExtent l="0" t="0" r="0" b="0"/>
                  <wp:docPr id="50"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4" descr=""/>
                          <pic:cNvPicPr>
                            <a:picLocks noChangeAspect="1" noChangeArrowheads="1"/>
                          </pic:cNvPicPr>
                        </pic:nvPicPr>
                        <pic:blipFill>
                          <a:blip r:embed="rId55"/>
                          <a:stretch>
                            <a:fillRect/>
                          </a:stretch>
                        </pic:blipFill>
                        <pic:spPr bwMode="auto">
                          <a:xfrm>
                            <a:off x="0" y="0"/>
                            <a:ext cx="2557780" cy="13620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1h-v1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09395"/>
                  <wp:effectExtent l="0" t="0" r="0" b="0"/>
                  <wp:docPr id="51"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5" descr=""/>
                          <pic:cNvPicPr>
                            <a:picLocks noChangeAspect="1" noChangeArrowheads="1"/>
                          </pic:cNvPicPr>
                        </pic:nvPicPr>
                        <pic:blipFill>
                          <a:blip r:embed="rId56"/>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1h-v2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558290"/>
                  <wp:effectExtent l="0" t="0" r="0" b="0"/>
                  <wp:docPr id="52"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46" descr=""/>
                          <pic:cNvPicPr>
                            <a:picLocks noChangeAspect="1" noChangeArrowheads="1"/>
                          </pic:cNvPicPr>
                        </pic:nvPicPr>
                        <pic:blipFill>
                          <a:blip r:embed="rId57"/>
                          <a:stretch>
                            <a:fillRect/>
                          </a:stretch>
                        </pic:blipFill>
                        <pic:spPr bwMode="auto">
                          <a:xfrm>
                            <a:off x="0" y="0"/>
                            <a:ext cx="2557780" cy="155829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1i-v1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933575"/>
                  <wp:effectExtent l="0" t="0" r="0" b="0"/>
                  <wp:docPr id="53"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47" descr=""/>
                          <pic:cNvPicPr>
                            <a:picLocks noChangeAspect="1" noChangeArrowheads="1"/>
                          </pic:cNvPicPr>
                        </pic:nvPicPr>
                        <pic:blipFill>
                          <a:blip r:embed="rId58"/>
                          <a:stretch>
                            <a:fillRect/>
                          </a:stretch>
                        </pic:blipFill>
                        <pic:spPr bwMode="auto">
                          <a:xfrm>
                            <a:off x="0" y="0"/>
                            <a:ext cx="2489835" cy="193357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1i-v2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251075"/>
                  <wp:effectExtent l="0" t="0" r="0" b="0"/>
                  <wp:docPr id="54"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48" descr=""/>
                          <pic:cNvPicPr>
                            <a:picLocks noChangeAspect="1" noChangeArrowheads="1"/>
                          </pic:cNvPicPr>
                        </pic:nvPicPr>
                        <pic:blipFill>
                          <a:blip r:embed="rId59"/>
                          <a:stretch>
                            <a:fillRect/>
                          </a:stretch>
                        </pic:blipFill>
                        <pic:spPr bwMode="auto">
                          <a:xfrm>
                            <a:off x="0" y="0"/>
                            <a:ext cx="2557780" cy="22510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2-v1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09395"/>
                  <wp:effectExtent l="0" t="0" r="0" b="0"/>
                  <wp:docPr id="55"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49" descr=""/>
                          <pic:cNvPicPr>
                            <a:picLocks noChangeAspect="1" noChangeArrowheads="1"/>
                          </pic:cNvPicPr>
                        </pic:nvPicPr>
                        <pic:blipFill>
                          <a:blip r:embed="rId60"/>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2-v2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437005"/>
                  <wp:effectExtent l="0" t="0" r="0" b="0"/>
                  <wp:docPr id="56"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0" descr=""/>
                          <pic:cNvPicPr>
                            <a:picLocks noChangeAspect="1" noChangeArrowheads="1"/>
                          </pic:cNvPicPr>
                        </pic:nvPicPr>
                        <pic:blipFill>
                          <a:blip r:embed="rId61"/>
                          <a:stretch>
                            <a:fillRect/>
                          </a:stretch>
                        </pic:blipFill>
                        <pic:spPr bwMode="auto">
                          <a:xfrm>
                            <a:off x="0" y="0"/>
                            <a:ext cx="2557780" cy="143700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3-v1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91310"/>
                  <wp:effectExtent l="0" t="0" r="0" b="0"/>
                  <wp:docPr id="57"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1" descr=""/>
                          <pic:cNvPicPr>
                            <a:picLocks noChangeAspect="1" noChangeArrowheads="1"/>
                          </pic:cNvPicPr>
                        </pic:nvPicPr>
                        <pic:blipFill>
                          <a:blip r:embed="rId62"/>
                          <a:stretch>
                            <a:fillRect/>
                          </a:stretch>
                        </pic:blipFill>
                        <pic:spPr bwMode="auto">
                          <a:xfrm>
                            <a:off x="0" y="0"/>
                            <a:ext cx="2489835" cy="159131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3-v2</w:t>
            </w:r>
          </w:p>
        </w:tc>
      </w:tr>
    </w:tbl>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Style36"/>
        <w:rPr/>
      </w:pPr>
      <w:r>
        <w:rPr/>
        <w:t>Оглавление</w:t>
      </w:r>
    </w:p>
    <w:p>
      <w:pPr>
        <w:pStyle w:val="23"/>
        <w:tabs>
          <w:tab w:val="right" w:pos="9638" w:leader="dot"/>
        </w:tabs>
        <w:rPr/>
      </w:pPr>
      <w:r>
        <w:fldChar w:fldCharType="begin"/>
      </w:r>
      <w:r>
        <w:instrText> TOC \f \o "1-9" \h</w:instrText>
      </w:r>
      <w:r>
        <w:fldChar w:fldCharType="separate"/>
      </w:r>
      <w:hyperlink w:anchor="__RefHeading___Toc11472_1966729274">
        <w:r>
          <w:rPr>
            <w:rStyle w:val="Style22"/>
          </w:rPr>
          <w:t>Экспериментальное ESI-MS и теоретическое DFT исследование фрагментации арендиазоний тозилатов, трифлатов и тетрафторборатов и процессов в условиях электроспрея</w:t>
          <w:tab/>
          <w:t>1</w:t>
        </w:r>
      </w:hyperlink>
    </w:p>
    <w:p>
      <w:pPr>
        <w:pStyle w:val="17"/>
        <w:tabs>
          <w:tab w:val="right" w:pos="9638" w:leader="dot"/>
        </w:tabs>
        <w:rPr/>
      </w:pPr>
      <w:hyperlink w:anchor="__RefHeading___Toc11474_1966729274">
        <w:r>
          <w:rPr>
            <w:rStyle w:val="Style22"/>
          </w:rPr>
          <w:t>Abstract</w:t>
          <w:tab/>
          <w:t>1</w:t>
        </w:r>
      </w:hyperlink>
    </w:p>
    <w:p>
      <w:pPr>
        <w:pStyle w:val="17"/>
        <w:tabs>
          <w:tab w:val="right" w:pos="9638" w:leader="dot"/>
        </w:tabs>
        <w:rPr/>
      </w:pPr>
      <w:hyperlink w:anchor="__RefHeading___Toc11476_1966729274">
        <w:r>
          <w:rPr>
            <w:rStyle w:val="Style22"/>
          </w:rPr>
          <w:t>1. Introduction</w:t>
          <w:tab/>
          <w:t>1</w:t>
        </w:r>
      </w:hyperlink>
    </w:p>
    <w:p>
      <w:pPr>
        <w:pStyle w:val="17"/>
        <w:tabs>
          <w:tab w:val="right" w:pos="9638" w:leader="dot"/>
        </w:tabs>
        <w:rPr/>
      </w:pPr>
      <w:hyperlink w:anchor="__RefHeading___Toc11478_1966729274">
        <w:r>
          <w:rPr>
            <w:rStyle w:val="Style22"/>
          </w:rPr>
          <w:t>2. Experimental section</w:t>
          <w:tab/>
          <w:t>4</w:t>
        </w:r>
      </w:hyperlink>
    </w:p>
    <w:p>
      <w:pPr>
        <w:pStyle w:val="23"/>
        <w:tabs>
          <w:tab w:val="right" w:pos="9638" w:leader="dot"/>
        </w:tabs>
        <w:rPr/>
      </w:pPr>
      <w:hyperlink w:anchor="__RefHeading___Toc11480_1966729274">
        <w:r>
          <w:rPr>
            <w:rStyle w:val="Style22"/>
          </w:rPr>
          <w:t>2.1. Получение диазониевых солей</w:t>
          <w:tab/>
          <w:t>4</w:t>
        </w:r>
      </w:hyperlink>
    </w:p>
    <w:p>
      <w:pPr>
        <w:pStyle w:val="23"/>
        <w:tabs>
          <w:tab w:val="right" w:pos="9638" w:leader="dot"/>
        </w:tabs>
        <w:rPr/>
      </w:pPr>
      <w:hyperlink w:anchor="__RefHeading___Toc11482_1966729274">
        <w:r>
          <w:rPr>
            <w:rStyle w:val="Style22"/>
          </w:rPr>
          <w:t>2.2. Масс спектрометрия растворов солей</w:t>
          <w:tab/>
          <w:t>4</w:t>
        </w:r>
      </w:hyperlink>
    </w:p>
    <w:p>
      <w:pPr>
        <w:pStyle w:val="23"/>
        <w:tabs>
          <w:tab w:val="right" w:pos="9638" w:leader="dot"/>
        </w:tabs>
        <w:rPr/>
      </w:pPr>
      <w:hyperlink w:anchor="__RefHeading___Toc11484_1966729274">
        <w:r>
          <w:rPr>
            <w:rStyle w:val="Style22"/>
          </w:rPr>
          <w:t>2.3. Квантовохимические расчеты</w:t>
          <w:tab/>
          <w:t>5</w:t>
        </w:r>
      </w:hyperlink>
    </w:p>
    <w:p>
      <w:pPr>
        <w:pStyle w:val="17"/>
        <w:tabs>
          <w:tab w:val="right" w:pos="9638" w:leader="dot"/>
        </w:tabs>
        <w:rPr/>
      </w:pPr>
      <w:hyperlink w:anchor="__RefHeading___Toc11486_1966729274">
        <w:r>
          <w:rPr>
            <w:rStyle w:val="Style22"/>
          </w:rPr>
          <w:t>3. Results and discussion</w:t>
          <w:tab/>
          <w:t>5</w:t>
        </w:r>
      </w:hyperlink>
    </w:p>
    <w:p>
      <w:pPr>
        <w:pStyle w:val="23"/>
        <w:tabs>
          <w:tab w:val="right" w:pos="9638" w:leader="dot"/>
        </w:tabs>
        <w:rPr/>
      </w:pPr>
      <w:hyperlink w:anchor="__RefHeading___Toc11488_1966729274">
        <w:r>
          <w:rPr>
            <w:rStyle w:val="Style22"/>
          </w:rPr>
          <w:t>3.1. Масс спектры растворов солей диазония</w:t>
          <w:tab/>
          <w:t>5</w:t>
        </w:r>
      </w:hyperlink>
    </w:p>
    <w:p>
      <w:pPr>
        <w:pStyle w:val="23"/>
        <w:tabs>
          <w:tab w:val="right" w:pos="9638" w:leader="dot"/>
        </w:tabs>
        <w:rPr/>
      </w:pPr>
      <w:hyperlink w:anchor="__RefHeading___Toc11490_1966729274">
        <w:r>
          <w:rPr>
            <w:rStyle w:val="Style22"/>
          </w:rPr>
          <w:t>3.4. Квантовохимический расчет прочности кластерных катионов</w:t>
          <w:tab/>
          <w:t>19</w:t>
        </w:r>
      </w:hyperlink>
    </w:p>
    <w:p>
      <w:pPr>
        <w:pStyle w:val="23"/>
        <w:tabs>
          <w:tab w:val="right" w:pos="9638" w:leader="dot"/>
        </w:tabs>
        <w:rPr/>
      </w:pPr>
      <w:hyperlink w:anchor="__RefHeading___Toc11492_1966729274">
        <w:r>
          <w:rPr>
            <w:rStyle w:val="Style22"/>
          </w:rPr>
          <w:t>3.5. Расчет профиля потенциальной энергии отщепления азота при фрагментации 2-нитрофенилдиазония</w:t>
          <w:tab/>
          <w:t>21</w:t>
        </w:r>
      </w:hyperlink>
    </w:p>
    <w:p>
      <w:pPr>
        <w:pStyle w:val="31"/>
        <w:tabs>
          <w:tab w:val="right" w:pos="9638" w:leader="dot"/>
        </w:tabs>
        <w:rPr/>
      </w:pPr>
      <w:hyperlink w:anchor="__RefHeading___Toc11494_1966729274">
        <w:r>
          <w:rPr>
            <w:rStyle w:val="Style22"/>
          </w:rPr>
          <w:t>4. Conclusions</w:t>
          <w:tab/>
          <w:t>23</w:t>
        </w:r>
      </w:hyperlink>
    </w:p>
    <w:p>
      <w:pPr>
        <w:pStyle w:val="31"/>
        <w:tabs>
          <w:tab w:val="right" w:pos="9638" w:leader="dot"/>
        </w:tabs>
        <w:rPr/>
      </w:pPr>
      <w:hyperlink w:anchor="__RefHeading___Toc11496_1966729274">
        <w:r>
          <w:rPr>
            <w:rStyle w:val="Style22"/>
          </w:rPr>
          <w:t>References</w:t>
          <w:tab/>
          <w:t>24</w:t>
        </w:r>
      </w:hyperlink>
    </w:p>
    <w:p>
      <w:pPr>
        <w:pStyle w:val="17"/>
        <w:tabs>
          <w:tab w:val="right" w:pos="9638" w:leader="dot"/>
        </w:tabs>
        <w:rPr/>
      </w:pPr>
      <w:hyperlink w:anchor="__RefHeading___Toc11498_1966729274">
        <w:r>
          <w:rPr>
            <w:rStyle w:val="Style22"/>
          </w:rPr>
          <w:t>Приложение 1. Характеристики полученных солей</w:t>
          <w:tab/>
          <w:t>30</w:t>
        </w:r>
      </w:hyperlink>
    </w:p>
    <w:p>
      <w:pPr>
        <w:pStyle w:val="17"/>
        <w:tabs>
          <w:tab w:val="right" w:pos="9638" w:leader="dot"/>
        </w:tabs>
        <w:rPr/>
      </w:pPr>
      <w:hyperlink w:anchor="__RefHeading___Toc11500_1966729274">
        <w:r>
          <w:rPr>
            <w:rStyle w:val="Style22"/>
          </w:rPr>
          <w:t>Приложение 2. Результаты квантовохимических расчетов структур диазониевых катионов в (S)-синглетном и (T)-триплетном состоянии</w:t>
          <w:tab/>
          <w:t>32</w:t>
        </w:r>
      </w:hyperlink>
    </w:p>
    <w:p>
      <w:pPr>
        <w:pStyle w:val="17"/>
        <w:tabs>
          <w:tab w:val="right" w:pos="9638" w:leader="dot"/>
        </w:tabs>
        <w:rPr/>
      </w:pPr>
      <w:hyperlink w:anchor="__RefHeading___Toc11502_1966729274">
        <w:r>
          <w:rPr>
            <w:rStyle w:val="Style22"/>
          </w:rPr>
          <w:t>Приложение 3. Фрагментация кластерных катионов</w:t>
          <w:tab/>
          <w:t>33</w:t>
        </w:r>
      </w:hyperlink>
    </w:p>
    <w:p>
      <w:pPr>
        <w:pStyle w:val="17"/>
        <w:tabs>
          <w:tab w:val="right" w:pos="9638" w:leader="dot"/>
        </w:tabs>
        <w:rPr/>
      </w:pPr>
      <w:hyperlink w:anchor="__RefHeading___Toc11504_1966729274">
        <w:r>
          <w:rPr>
            <w:rStyle w:val="Style22"/>
          </w:rPr>
          <w:t>Приложение 4. Результаты квантовохимических расчетов структур диазониевых катионов и кластерных частиц</w:t>
          <w:tab/>
          <w:t>33</w:t>
        </w:r>
      </w:hyperlink>
      <w:r>
        <w:fldChar w:fldCharType="end"/>
      </w:r>
    </w:p>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sectPr>
      <w:footerReference w:type="default" r:id="rId63"/>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default"/>
  </w:font>
  <w:font w:name="Symbol">
    <w:charset w:val="01"/>
    <w:family w:val="roman"/>
    <w:pitch w:val="variable"/>
  </w:font>
  <w:font w:name="Liberation Serif">
    <w:altName w:val="Times New Roman"/>
    <w:charset w:val="01"/>
    <w:family w:val="roman"/>
    <w:pitch w:val="default"/>
  </w:font>
  <w:font w:name="Standard Symbols 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0"/>
      <w:jc w:val="center"/>
      <w:rPr/>
    </w:pPr>
    <w:r>
      <w:rPr/>
      <w:fldChar w:fldCharType="begin"/>
    </w:r>
    <w:r>
      <w:instrText> PAGE </w:instrText>
    </w:r>
    <w:r>
      <w:fldChar w:fldCharType="separate"/>
    </w:r>
    <w:r>
      <w:t>1</w:t>
    </w:r>
    <w:r>
      <w:fldChar w:fldCharType="end"/>
    </w:r>
    <w:r>
      <w:rPr/>
      <w:t>/</w:t>
    </w:r>
    <w:r>
      <w:rPr/>
      <w:fldChar w:fldCharType="begin"/>
    </w:r>
    <w:r>
      <w:instrText> NUMPAGES </w:instrText>
    </w:r>
    <w:r>
      <w:fldChar w:fldCharType="separate"/>
    </w:r>
    <w:r>
      <w:t>38</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isplayBackgroundShape/>
  <w:embedSystemFonts/>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style w:type="paragraph" w:styleId="Normal">
    <w:name w:val="Normal"/>
    <w:qFormat/>
    <w:pPr>
      <w:widowControl/>
      <w:suppressAutoHyphens w:val="true"/>
      <w:kinsoku w:val="true"/>
      <w:overflowPunct w:val="true"/>
      <w:autoSpaceDE w:val="true"/>
      <w:bidi w:val="0"/>
      <w:spacing w:lineRule="auto" w:line="312"/>
      <w:ind w:left="0" w:right="0" w:firstLine="567"/>
      <w:jc w:val="both"/>
    </w:pPr>
    <w:rPr>
      <w:rFonts w:ascii="Liberation Serif" w:hAnsi="Liberation Serif" w:eastAsia="Noto Sans CJK SC Regular" w:cs="FreeSans"/>
      <w:color w:val="00000A"/>
      <w:sz w:val="24"/>
      <w:szCs w:val="24"/>
      <w:lang w:val="ru-RU" w:eastAsia="zh-CN" w:bidi="hi-IN"/>
    </w:rPr>
  </w:style>
  <w:style w:type="paragraph" w:styleId="1">
    <w:name w:val="Heading 1"/>
    <w:basedOn w:val="Style23"/>
    <w:qFormat/>
    <w:pPr>
      <w:widowControl w:val="false"/>
      <w:numPr>
        <w:ilvl w:val="0"/>
        <w:numId w:val="1"/>
      </w:numPr>
      <w:bidi w:val="0"/>
      <w:spacing w:before="170" w:after="119"/>
      <w:ind w:left="567" w:right="0" w:hanging="0"/>
      <w:jc w:val="left"/>
      <w:outlineLvl w:val="0"/>
      <w:outlineLvl w:val="0"/>
    </w:pPr>
    <w:rPr>
      <w:rFonts w:ascii="Times New Roman" w:hAnsi="Times New Roman" w:eastAsia="Times New Roman" w:cs="Times New Roman"/>
      <w:b/>
      <w:bCs/>
      <w:color w:val="00000A"/>
      <w:sz w:val="30"/>
      <w:szCs w:val="36"/>
      <w:lang w:val="ru-RU" w:eastAsia="ru-RU" w:bidi="ar-SA"/>
    </w:rPr>
  </w:style>
  <w:style w:type="paragraph" w:styleId="2">
    <w:name w:val="Heading 2"/>
    <w:basedOn w:val="Style23"/>
    <w:qFormat/>
    <w:pPr>
      <w:widowControl w:val="false"/>
      <w:numPr>
        <w:ilvl w:val="1"/>
        <w:numId w:val="1"/>
      </w:numPr>
      <w:bidi w:val="0"/>
      <w:spacing w:before="227" w:after="57"/>
      <w:ind w:left="567" w:right="0" w:hanging="0"/>
      <w:jc w:val="left"/>
      <w:outlineLvl w:val="1"/>
      <w:outlineLvl w:val="1"/>
    </w:pPr>
    <w:rPr>
      <w:rFonts w:ascii="Times New Roman" w:hAnsi="Times New Roman" w:eastAsia="Times New Roman" w:cs="Times New Roman"/>
      <w:b w:val="false"/>
      <w:bCs/>
      <w:color w:val="00000A"/>
      <w:sz w:val="28"/>
      <w:szCs w:val="32"/>
      <w:lang w:val="ru-RU" w:eastAsia="ru-RU" w:bidi="ar-SA"/>
    </w:rPr>
  </w:style>
  <w:style w:type="paragraph" w:styleId="3">
    <w:name w:val="Heading 3"/>
    <w:basedOn w:val="Style23"/>
    <w:qFormat/>
    <w:pPr>
      <w:widowControl w:val="false"/>
      <w:numPr>
        <w:ilvl w:val="2"/>
        <w:numId w:val="1"/>
      </w:numPr>
      <w:bidi w:val="0"/>
      <w:spacing w:before="142" w:after="0"/>
      <w:ind w:left="0" w:right="0" w:firstLine="567"/>
      <w:jc w:val="left"/>
      <w:outlineLvl w:val="2"/>
      <w:outlineLvl w:val="2"/>
    </w:pPr>
    <w:rPr>
      <w:rFonts w:ascii="Times New Roman" w:hAnsi="Times New Roman" w:eastAsia="Times New Roman" w:cs="Times New Roman"/>
      <w:b/>
      <w:bCs/>
      <w:color w:val="00000A"/>
      <w:sz w:val="24"/>
      <w:szCs w:val="20"/>
      <w:lang w:val="ru-RU" w:eastAsia="ru-RU" w:bidi="ar-SA"/>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rPr>
  </w:style>
  <w:style w:type="character" w:styleId="Style14">
    <w:name w:val="Посещённая гиперссылка"/>
    <w:rPr>
      <w:color w:val="800000"/>
      <w:u w:val="single"/>
    </w:rPr>
  </w:style>
  <w:style w:type="character" w:styleId="Style15">
    <w:name w:val="Выделение жирным"/>
    <w:qFormat/>
    <w:rPr>
      <w:b/>
      <w:bCs/>
    </w:rPr>
  </w:style>
  <w:style w:type="character" w:styleId="Style16">
    <w:name w:val="Тема примечания Знак"/>
    <w:qFormat/>
    <w:rPr>
      <w:rFonts w:ascii="Liberation Serif" w:hAnsi="Liberation Serif" w:eastAsia="Mangal"/>
      <w:b/>
      <w:sz w:val="18"/>
      <w:lang w:eastAsia="hi-IN"/>
    </w:rPr>
  </w:style>
  <w:style w:type="character" w:styleId="Style17">
    <w:name w:val="Текст примечания Знак"/>
    <w:qFormat/>
    <w:rPr>
      <w:rFonts w:ascii="Liberation Serif" w:hAnsi="Liberation Serif" w:eastAsia="Mangal"/>
      <w:sz w:val="18"/>
      <w:lang w:eastAsia="hi-IN"/>
    </w:rPr>
  </w:style>
  <w:style w:type="character" w:styleId="Annotationreference">
    <w:name w:val="annotation reference"/>
    <w:qFormat/>
    <w:rPr>
      <w:sz w:val="16"/>
    </w:rPr>
  </w:style>
  <w:style w:type="character" w:styleId="Style18">
    <w:name w:val="Символ сноски"/>
    <w:qFormat/>
    <w:rPr/>
  </w:style>
  <w:style w:type="character" w:styleId="Style19">
    <w:name w:val="Привязка сноски"/>
    <w:rPr>
      <w:vertAlign w:val="superscript"/>
    </w:rPr>
  </w:style>
  <w:style w:type="character" w:styleId="Style20">
    <w:name w:val="Символы концевой сноски"/>
    <w:qFormat/>
    <w:rPr/>
  </w:style>
  <w:style w:type="character" w:styleId="Style21">
    <w:name w:val="Привязка концевой сноски"/>
    <w:rPr>
      <w:vertAlign w:val="superscript"/>
    </w:rPr>
  </w:style>
  <w:style w:type="character" w:styleId="Style22">
    <w:name w:val="Ссылка указателя"/>
    <w:qFormat/>
    <w:rPr/>
  </w:style>
  <w:style w:type="paragraph" w:styleId="Style23">
    <w:name w:val="Заголовок"/>
    <w:basedOn w:val="Normal"/>
    <w:next w:val="Style24"/>
    <w:qFormat/>
    <w:pPr>
      <w:keepNext/>
      <w:spacing w:before="240" w:after="120"/>
    </w:pPr>
    <w:rPr>
      <w:rFonts w:ascii="Liberation Sans" w:hAnsi="Liberation Sans" w:eastAsia="Noto Sans CJK SC DemiLight" w:cs="FreeSans"/>
      <w:sz w:val="28"/>
      <w:szCs w:val="28"/>
    </w:rPr>
  </w:style>
  <w:style w:type="paragraph" w:styleId="Style24">
    <w:name w:val="Body Text"/>
    <w:basedOn w:val="Normal"/>
    <w:pPr>
      <w:spacing w:lineRule="auto" w:line="288" w:before="0" w:after="140"/>
    </w:pPr>
    <w:rPr/>
  </w:style>
  <w:style w:type="paragraph" w:styleId="Style25">
    <w:name w:val="List"/>
    <w:basedOn w:val="Style24"/>
    <w:pPr/>
    <w:rPr/>
  </w:style>
  <w:style w:type="paragraph" w:styleId="Style26">
    <w:name w:val="Caption"/>
    <w:basedOn w:val="Normal"/>
    <w:qFormat/>
    <w:pPr>
      <w:suppressLineNumbers/>
      <w:spacing w:before="120" w:after="120"/>
    </w:pPr>
    <w:rPr>
      <w:rFonts w:cs="FreeSans"/>
      <w:i/>
      <w:iCs/>
      <w:sz w:val="24"/>
      <w:szCs w:val="24"/>
    </w:rPr>
  </w:style>
  <w:style w:type="paragraph" w:styleId="Style27">
    <w:name w:val="Указатель"/>
    <w:basedOn w:val="Normal"/>
    <w:qFormat/>
    <w:pPr>
      <w:suppressLineNumbers/>
    </w:pPr>
    <w:rPr>
      <w:rFonts w:cs="FreeSans"/>
    </w:rPr>
  </w:style>
  <w:style w:type="paragraph" w:styleId="13">
    <w:name w:val="Заголовок1"/>
    <w:basedOn w:val="Normal"/>
    <w:qFormat/>
    <w:pPr>
      <w:keepNext/>
      <w:bidi w:val="0"/>
      <w:spacing w:before="240" w:after="120"/>
    </w:pPr>
    <w:rPr>
      <w:rFonts w:ascii="Times New Roman" w:hAnsi="Times New Roman"/>
      <w:sz w:val="28"/>
      <w:szCs w:val="28"/>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rPr>
      <w:rFonts w:eastAsia="FreeSans"/>
      <w:lang w:eastAsia="hi-IN"/>
    </w:rPr>
  </w:style>
  <w:style w:type="paragraph" w:styleId="22">
    <w:name w:val="Указатель2"/>
    <w:basedOn w:val="Normal"/>
    <w:qFormat/>
    <w:pPr>
      <w:suppressLineNumbers/>
    </w:pPr>
    <w:rPr/>
  </w:style>
  <w:style w:type="paragraph" w:styleId="14">
    <w:name w:val="Название объекта1"/>
    <w:basedOn w:val="Normal"/>
    <w:qFormat/>
    <w:pPr>
      <w:suppressLineNumbers/>
      <w:spacing w:before="120" w:after="120"/>
    </w:pPr>
    <w:rPr>
      <w:i/>
      <w:iCs/>
    </w:rPr>
  </w:style>
  <w:style w:type="paragraph" w:styleId="15">
    <w:name w:val="Указатель1"/>
    <w:basedOn w:val="Normal"/>
    <w:qFormat/>
    <w:pPr>
      <w:suppressLineNumbers/>
    </w:pPr>
    <w:rPr/>
  </w:style>
  <w:style w:type="paragraph" w:styleId="Style28">
    <w:name w:val="Содержимое таблицы"/>
    <w:basedOn w:val="Normal"/>
    <w:qFormat/>
    <w:pPr>
      <w:suppressLineNumbers/>
    </w:pPr>
    <w:rPr/>
  </w:style>
  <w:style w:type="paragraph" w:styleId="Style29">
    <w:name w:val="Заголовок таблицы"/>
    <w:basedOn w:val="Style28"/>
    <w:qFormat/>
    <w:pPr>
      <w:jc w:val="center"/>
    </w:pPr>
    <w:rPr>
      <w:b/>
      <w:bCs/>
    </w:rPr>
  </w:style>
  <w:style w:type="paragraph" w:styleId="Style30">
    <w:name w:val="Footer"/>
    <w:basedOn w:val="Normal"/>
    <w:pPr>
      <w:suppressLineNumbers/>
      <w:tabs>
        <w:tab w:val="center" w:pos="4819" w:leader="none"/>
        <w:tab w:val="right" w:pos="9638" w:leader="none"/>
      </w:tabs>
    </w:pPr>
    <w:rPr/>
  </w:style>
  <w:style w:type="paragraph" w:styleId="16">
    <w:name w:val="Текст выноски1"/>
    <w:basedOn w:val="Normal"/>
    <w:qFormat/>
    <w:pPr>
      <w:spacing w:lineRule="auto" w:line="240"/>
      <w:jc w:val="left"/>
    </w:pPr>
    <w:rPr>
      <w:rFonts w:ascii="Tahoma" w:hAnsi="Tahoma" w:eastAsia="Tahoma"/>
      <w:sz w:val="16"/>
    </w:rPr>
  </w:style>
  <w:style w:type="paragraph" w:styleId="Style31">
    <w:name w:val="Блочная цитата"/>
    <w:basedOn w:val="Normal"/>
    <w:qFormat/>
    <w:pPr/>
    <w:rPr/>
  </w:style>
  <w:style w:type="paragraph" w:styleId="Style32">
    <w:name w:val="Title"/>
    <w:basedOn w:val="13"/>
    <w:qFormat/>
    <w:pPr/>
    <w:rPr/>
  </w:style>
  <w:style w:type="paragraph" w:styleId="Style33">
    <w:name w:val="Subtitle"/>
    <w:basedOn w:val="13"/>
    <w:qFormat/>
    <w:pPr/>
    <w:rPr/>
  </w:style>
  <w:style w:type="paragraph" w:styleId="ListParagraph">
    <w:name w:val="List Paragraph"/>
    <w:basedOn w:val="Normal"/>
    <w:qFormat/>
    <w:pPr>
      <w:spacing w:before="0" w:after="0"/>
      <w:ind w:left="720" w:right="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Annotationsubject">
    <w:name w:val="annotation subject"/>
    <w:qFormat/>
    <w:pPr>
      <w:widowControl/>
      <w:suppressAutoHyphens w:val="true"/>
      <w:kinsoku w:val="true"/>
      <w:overflowPunct w:val="true"/>
      <w:autoSpaceDE w:val="true"/>
      <w:bidi w:val="0"/>
      <w:ind w:left="0" w:right="0" w:firstLine="567"/>
      <w:jc w:val="both"/>
    </w:pPr>
    <w:rPr>
      <w:rFonts w:ascii="Liberation Serif" w:hAnsi="Liberation Serif" w:eastAsia="Mangal" w:cs="Times New Roman"/>
      <w:b/>
      <w:color w:val="00000A"/>
      <w:sz w:val="24"/>
      <w:szCs w:val="20"/>
      <w:lang w:val="ru-RU" w:eastAsia="hi-IN" w:bidi="ar-SA"/>
    </w:rPr>
  </w:style>
  <w:style w:type="paragraph" w:styleId="Annotationtext">
    <w:name w:val="annotation text"/>
    <w:basedOn w:val="Normal"/>
    <w:qFormat/>
    <w:pPr>
      <w:spacing w:lineRule="auto" w:line="240"/>
    </w:pPr>
    <w:rPr>
      <w:rFonts w:eastAsia="Mangal"/>
      <w:sz w:val="20"/>
      <w:lang w:eastAsia="hi-IN"/>
    </w:rPr>
  </w:style>
  <w:style w:type="paragraph" w:styleId="Style34">
    <w:name w:val="Текст в заданном формате"/>
    <w:basedOn w:val="Normal"/>
    <w:qFormat/>
    <w:pPr/>
    <w:rPr/>
  </w:style>
  <w:style w:type="paragraph" w:styleId="Style35">
    <w:name w:val="Signature"/>
    <w:basedOn w:val="Normal"/>
    <w:pPr/>
    <w:rPr/>
  </w:style>
  <w:style w:type="paragraph" w:styleId="Style36">
    <w:name w:val="TOA Heading"/>
    <w:basedOn w:val="Style23"/>
    <w:pPr/>
    <w:rPr/>
  </w:style>
  <w:style w:type="paragraph" w:styleId="23">
    <w:name w:val="TOC 2"/>
    <w:basedOn w:val="Style27"/>
    <w:pPr/>
    <w:rPr/>
  </w:style>
  <w:style w:type="paragraph" w:styleId="17">
    <w:name w:val="TOC 1"/>
    <w:basedOn w:val="Style27"/>
    <w:pPr/>
    <w:rPr/>
  </w:style>
  <w:style w:type="paragraph" w:styleId="31">
    <w:name w:val="TOC 3"/>
    <w:basedOn w:val="Style27"/>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hyperlink" Target="https://doi.org/10.1002/ejoc.201800887" TargetMode="External"/><Relationship Id="rId37" Type="http://schemas.openxmlformats.org/officeDocument/2006/relationships/hyperlink" Target="http://scholarworks.uni.edu/jias/vol116/iss1/6" TargetMode="External"/><Relationship Id="rId38" Type="http://schemas.openxmlformats.org/officeDocument/2006/relationships/hyperlink" Target="http://trace.tennessee.edu/utk_graddiss/3518" TargetMode="External"/><Relationship Id="rId39" Type="http://schemas.openxmlformats.org/officeDocument/2006/relationships/hyperlink" Target="http://lib.dr.iastate.edu/rtd/5154" TargetMode="Externa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footer" Target="footer1.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4175</TotalTime>
  <Application>LibreOffice/5.2.7.2$Linux_X86_64 LibreOffice_project/20m0$Build-2</Application>
  <Pages>38</Pages>
  <Words>9152</Words>
  <Characters>54417</Characters>
  <CharactersWithSpaces>62074</CharactersWithSpaces>
  <Paragraphs>1725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2018-08-22T05:16:00Z</dcterms:created>
  <dc:creator>Victor</dc:creator>
  <dc:description/>
  <dc:language>ru-RU</dc:language>
  <cp:lastModifiedBy>Александр Александрович Бондарев</cp:lastModifiedBy>
  <cp:lastPrinted>1900-12-31T17:00:00Z</cp:lastPrinted>
  <dcterms:modified xsi:type="dcterms:W3CDTF">2018-10-27T19:27:16Z</dcterms:modified>
  <cp:revision>205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