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widowControl/>
        <w:overflowPunct w:val="true"/>
        <w:bidi w:val="0"/>
        <w:spacing w:lineRule="auto" w:line="276" w:before="0" w:after="113"/>
        <w:ind w:left="0" w:right="0" w:hanging="0"/>
        <w:jc w:val="center"/>
        <w:rPr>
          <w:rFonts w:ascii="Arial" w:hAnsi="Arial"/>
          <w:sz w:val="20"/>
          <w:szCs w:val="20"/>
        </w:rPr>
      </w:pPr>
      <w:r>
        <w:rPr>
          <w:rFonts w:ascii="Arial" w:hAnsi="Arial"/>
          <w:sz w:val="20"/>
          <w:szCs w:val="20"/>
          <w:lang w:val="ru-RU"/>
        </w:rPr>
        <w:t>ИССЛЕДОВАНИЕ СВОЙСТВ И СТАБИЛЬНОСТИ АРЕНДИАЗОНИЙ ТРИФЛАТОВ, ТОЗИЛАТОВ И ТЕТРАФТОРБОРАТОВ В ГАЗОВОЙ ФАЗЕ МЕТОДАМИ МАСС-СПЕКТРОМЕТРИИ</w:t>
      </w:r>
    </w:p>
    <w:p>
      <w:pPr>
        <w:pStyle w:val="Style19"/>
        <w:widowControl/>
        <w:overflowPunct w:val="true"/>
        <w:bidi w:val="0"/>
        <w:spacing w:lineRule="auto" w:line="276" w:before="0" w:after="113"/>
        <w:ind w:left="0" w:right="0" w:hanging="0"/>
        <w:jc w:val="center"/>
        <w:rPr>
          <w:rFonts w:ascii="Arial" w:hAnsi="Arial"/>
          <w:i/>
          <w:i/>
          <w:iCs/>
          <w:sz w:val="20"/>
          <w:szCs w:val="20"/>
          <w:u w:val="none"/>
        </w:rPr>
      </w:pPr>
      <w:r>
        <w:rPr>
          <w:rFonts w:ascii="Arial" w:hAnsi="Arial"/>
          <w:i/>
          <w:iCs/>
          <w:sz w:val="20"/>
          <w:szCs w:val="20"/>
          <w:u w:val="single"/>
          <w:lang w:val="ru-RU"/>
        </w:rPr>
        <w:t>Филимонов В.Д.</w:t>
      </w:r>
      <w:r>
        <w:rPr>
          <w:rFonts w:ascii="Arial" w:hAnsi="Arial"/>
          <w:i/>
          <w:iCs/>
          <w:sz w:val="20"/>
          <w:szCs w:val="20"/>
          <w:u w:val="none"/>
          <w:vertAlign w:val="superscript"/>
          <w:lang w:val="ru-RU"/>
        </w:rPr>
        <w:t>1</w:t>
      </w:r>
      <w:r>
        <w:rPr>
          <w:rFonts w:ascii="Arial" w:hAnsi="Arial"/>
          <w:i/>
          <w:iCs/>
          <w:sz w:val="20"/>
          <w:szCs w:val="20"/>
          <w:u w:val="none"/>
          <w:lang w:val="ru-RU"/>
        </w:rPr>
        <w:t>, Бондарев А.А.</w:t>
      </w:r>
      <w:r>
        <w:rPr>
          <w:rFonts w:ascii="Arial" w:hAnsi="Arial"/>
          <w:i/>
          <w:iCs/>
          <w:sz w:val="20"/>
          <w:szCs w:val="20"/>
          <w:u w:val="none"/>
          <w:vertAlign w:val="superscript"/>
          <w:lang w:val="ru-RU"/>
        </w:rPr>
        <w:t>2</w:t>
      </w:r>
      <w:r>
        <w:rPr>
          <w:rFonts w:ascii="Arial" w:hAnsi="Arial"/>
          <w:i/>
          <w:iCs/>
          <w:sz w:val="20"/>
          <w:szCs w:val="20"/>
          <w:u w:val="none"/>
          <w:lang w:val="ru-RU"/>
        </w:rPr>
        <w:t>, Наумое Е.В., Краснокутская Е.А.</w:t>
      </w:r>
      <w:r>
        <w:rPr>
          <w:rFonts w:ascii="Arial" w:hAnsi="Arial"/>
          <w:i/>
          <w:iCs/>
          <w:sz w:val="20"/>
          <w:szCs w:val="20"/>
          <w:u w:val="none"/>
          <w:vertAlign w:val="superscript"/>
          <w:lang w:val="ru-RU"/>
        </w:rPr>
        <w:t>1</w:t>
      </w:r>
      <w:r>
        <w:rPr>
          <w:rFonts w:ascii="Arial" w:hAnsi="Arial"/>
          <w:i/>
          <w:iCs/>
          <w:sz w:val="20"/>
          <w:szCs w:val="20"/>
          <w:u w:val="none"/>
          <w:lang w:val="ru-RU"/>
        </w:rPr>
        <w:t>, Кассанова А.В.</w:t>
      </w:r>
      <w:r>
        <w:rPr>
          <w:rFonts w:ascii="Arial" w:hAnsi="Arial"/>
          <w:i/>
          <w:iCs/>
          <w:sz w:val="20"/>
          <w:szCs w:val="20"/>
          <w:u w:val="none"/>
          <w:vertAlign w:val="superscript"/>
          <w:lang w:val="ru-RU"/>
        </w:rPr>
        <w:t>3</w:t>
      </w:r>
      <w:r>
        <w:rPr>
          <w:rFonts w:ascii="Arial" w:hAnsi="Arial"/>
          <w:i/>
          <w:iCs/>
          <w:sz w:val="20"/>
          <w:szCs w:val="20"/>
          <w:u w:val="none"/>
          <w:lang w:val="ru-RU"/>
        </w:rPr>
        <w:t>,  Санжиев А.Н.</w:t>
      </w:r>
      <w:r>
        <w:rPr>
          <w:rFonts w:ascii="Arial" w:hAnsi="Arial"/>
          <w:i/>
          <w:iCs/>
          <w:sz w:val="20"/>
          <w:szCs w:val="20"/>
          <w:u w:val="none"/>
          <w:vertAlign w:val="superscript"/>
          <w:lang w:val="ru-RU"/>
        </w:rPr>
        <w:t>1</w:t>
      </w:r>
    </w:p>
    <w:p>
      <w:pPr>
        <w:pStyle w:val="Style19"/>
        <w:widowControl/>
        <w:overflowPunct w:val="true"/>
        <w:bidi w:val="0"/>
        <w:spacing w:lineRule="auto" w:line="276" w:before="0" w:after="0"/>
        <w:ind w:left="0" w:right="0" w:hanging="0"/>
        <w:jc w:val="center"/>
        <w:rPr>
          <w:rFonts w:ascii="Arial" w:hAnsi="Arial"/>
          <w:sz w:val="20"/>
          <w:szCs w:val="20"/>
        </w:rPr>
      </w:pPr>
      <w:r>
        <w:rPr>
          <w:rFonts w:ascii="Arial" w:hAnsi="Arial"/>
          <w:sz w:val="20"/>
          <w:szCs w:val="20"/>
          <w:vertAlign w:val="superscript"/>
          <w:lang w:val="ru-RU"/>
        </w:rPr>
        <w:t>1</w:t>
      </w:r>
      <w:r>
        <w:rPr>
          <w:rFonts w:ascii="Arial" w:hAnsi="Arial"/>
          <w:sz w:val="20"/>
          <w:szCs w:val="20"/>
          <w:lang w:val="ru-RU"/>
        </w:rPr>
        <w:t>Национальный исследовательский Томский политехнический университет, Томск, 634050 Россия</w:t>
      </w:r>
    </w:p>
    <w:p>
      <w:pPr>
        <w:pStyle w:val="Style19"/>
        <w:widowControl/>
        <w:overflowPunct w:val="true"/>
        <w:bidi w:val="0"/>
        <w:spacing w:lineRule="auto" w:line="276" w:before="0" w:after="0"/>
        <w:ind w:left="0" w:right="0" w:hanging="0"/>
        <w:jc w:val="center"/>
        <w:rPr>
          <w:rFonts w:ascii="Arial" w:hAnsi="Arial"/>
          <w:sz w:val="20"/>
          <w:szCs w:val="20"/>
        </w:rPr>
      </w:pPr>
      <w:r>
        <w:rPr>
          <w:rFonts w:ascii="Arial" w:hAnsi="Arial"/>
          <w:sz w:val="20"/>
          <w:szCs w:val="20"/>
          <w:vertAlign w:val="superscript"/>
          <w:lang w:val="ru-RU"/>
        </w:rPr>
        <w:t>2</w:t>
      </w:r>
      <w:r>
        <w:rPr>
          <w:rFonts w:ascii="Arial" w:hAnsi="Arial"/>
          <w:sz w:val="20"/>
          <w:szCs w:val="20"/>
          <w:lang w:val="ru-RU"/>
        </w:rPr>
        <w:t>Алтайский государственный университет, пр. Ленина, Барнаул, Россия</w:t>
      </w:r>
    </w:p>
    <w:p>
      <w:pPr>
        <w:pStyle w:val="Style19"/>
        <w:widowControl/>
        <w:overflowPunct w:val="true"/>
        <w:bidi w:val="0"/>
        <w:spacing w:lineRule="auto" w:line="276" w:before="0" w:after="0"/>
        <w:ind w:left="0" w:right="0" w:hanging="0"/>
        <w:jc w:val="center"/>
        <w:rPr>
          <w:rFonts w:ascii="Arial" w:hAnsi="Arial"/>
          <w:sz w:val="20"/>
          <w:szCs w:val="20"/>
        </w:rPr>
      </w:pPr>
      <w:r>
        <w:rPr>
          <w:rFonts w:ascii="Arial" w:hAnsi="Arial"/>
          <w:sz w:val="20"/>
          <w:szCs w:val="20"/>
          <w:vertAlign w:val="superscript"/>
          <w:lang w:val="ru-RU"/>
        </w:rPr>
        <w:t>3</w:t>
      </w:r>
      <w:r>
        <w:rPr>
          <w:rFonts w:ascii="Arial" w:hAnsi="Arial"/>
          <w:sz w:val="20"/>
          <w:szCs w:val="20"/>
          <w:lang w:val="ru-RU"/>
        </w:rPr>
        <w:t>Павлодарский государственный университет имени С.Торайгырова</w:t>
      </w:r>
      <w:r>
        <w:rPr>
          <w:rFonts w:ascii="Arial" w:hAnsi="Arial"/>
          <w:sz w:val="20"/>
          <w:szCs w:val="20"/>
          <w:lang w:val="ru-RU"/>
        </w:rPr>
        <w:t>, г. Павлодар, Казахстан</w:t>
      </w:r>
    </w:p>
    <w:p>
      <w:pPr>
        <w:pStyle w:val="Style19"/>
        <w:widowControl/>
        <w:overflowPunct w:val="true"/>
        <w:bidi w:val="0"/>
        <w:spacing w:lineRule="auto" w:line="276" w:before="0" w:after="113"/>
        <w:ind w:left="0" w:right="0" w:hanging="0"/>
        <w:jc w:val="center"/>
        <w:rPr>
          <w:rFonts w:ascii="Arial" w:hAnsi="Arial"/>
          <w:sz w:val="20"/>
          <w:szCs w:val="20"/>
          <w:u w:val="single"/>
        </w:rPr>
      </w:pPr>
      <w:r>
        <w:rPr>
          <w:rFonts w:ascii="Arial" w:hAnsi="Arial"/>
          <w:sz w:val="20"/>
          <w:szCs w:val="20"/>
          <w:u w:val="single"/>
          <w:lang w:val="ru-RU"/>
        </w:rPr>
        <w:t>filimonov@tpu.ru</w:t>
      </w:r>
    </w:p>
    <w:p>
      <w:pPr>
        <w:pStyle w:val="Style19"/>
        <w:widowControl/>
        <w:overflowPunct w:val="true"/>
        <w:bidi w:val="0"/>
        <w:spacing w:lineRule="auto" w:line="276" w:before="0" w:after="0"/>
        <w:ind w:left="0" w:right="0" w:firstLine="567"/>
        <w:jc w:val="both"/>
        <w:rPr>
          <w:rFonts w:ascii="Arial" w:hAnsi="Arial"/>
          <w:sz w:val="20"/>
          <w:szCs w:val="20"/>
        </w:rPr>
      </w:pPr>
      <w:r>
        <w:rPr>
          <w:rFonts w:ascii="Arial" w:hAnsi="Arial"/>
          <w:sz w:val="20"/>
          <w:szCs w:val="20"/>
          <w:lang w:val="ru-RU"/>
        </w:rPr>
        <w:t xml:space="preserve">Как ранее было показано, арендиазоний трифлаты </w:t>
      </w:r>
      <w:r>
        <w:rPr>
          <w:rFonts w:ascii="Arial" w:hAnsi="Arial"/>
          <w:sz w:val="20"/>
          <w:szCs w:val="20"/>
          <w:lang w:val="ru-RU"/>
        </w:rPr>
        <w:t xml:space="preserve">(АДТФ) </w:t>
      </w:r>
      <w:r>
        <w:rPr>
          <w:rFonts w:ascii="Arial" w:hAnsi="Arial"/>
          <w:sz w:val="20"/>
          <w:szCs w:val="20"/>
          <w:lang w:val="ru-RU"/>
        </w:rPr>
        <w:t xml:space="preserve">обладают большей стабильностью по сравнений с тетрафторборатными и тозилатными солями </w:t>
      </w:r>
      <w:r>
        <w:rPr>
          <w:rFonts w:ascii="Arial" w:hAnsi="Arial"/>
          <w:sz w:val="20"/>
          <w:szCs w:val="20"/>
          <w:lang w:val="ru-RU"/>
        </w:rPr>
        <w:t xml:space="preserve">в сухом состоянии </w:t>
      </w:r>
      <w:r>
        <w:rPr>
          <w:rFonts w:ascii="Arial" w:hAnsi="Arial"/>
          <w:sz w:val="20"/>
          <w:szCs w:val="20"/>
          <w:lang w:val="ru-RU"/>
        </w:rPr>
        <w:t xml:space="preserve">[1]. </w:t>
      </w:r>
      <w:r>
        <w:rPr>
          <w:rFonts w:ascii="Arial" w:hAnsi="Arial"/>
          <w:sz w:val="20"/>
          <w:szCs w:val="20"/>
          <w:lang w:val="ru-RU"/>
        </w:rPr>
        <w:t xml:space="preserve">При этом АДТФ показывают высокую реакционную способность в типичных реакциях для диазониевых солей (ДС) в сочетании с высокой растворимостью в как в полярных, так и в неполярных растворителях [2]. Однако поведение ДС в малопоряных и неполярных растворителях, а также в газовой фазе практически не исследованная область. В настоящее время методами масс-спектрометрии частично изучено поведение </w:t>
      </w:r>
      <w:r>
        <w:rPr>
          <w:rFonts w:ascii="Arial" w:hAnsi="Arial"/>
          <w:sz w:val="20"/>
          <w:szCs w:val="20"/>
          <w:lang w:val="ru-RU"/>
        </w:rPr>
        <w:t xml:space="preserve">некоторых </w:t>
      </w:r>
      <w:r>
        <w:rPr>
          <w:rFonts w:ascii="Arial" w:hAnsi="Arial"/>
          <w:sz w:val="20"/>
          <w:szCs w:val="20"/>
          <w:lang w:val="ru-RU"/>
        </w:rPr>
        <w:t xml:space="preserve">арендиазоний </w:t>
      </w:r>
      <w:r>
        <w:rPr>
          <w:rFonts w:ascii="Arial" w:hAnsi="Arial"/>
          <w:sz w:val="20"/>
          <w:szCs w:val="20"/>
          <w:lang w:val="ru-RU"/>
        </w:rPr>
        <w:t>тетрафторборат</w:t>
      </w:r>
      <w:r>
        <w:rPr>
          <w:rFonts w:ascii="Arial" w:hAnsi="Arial"/>
          <w:sz w:val="20"/>
          <w:szCs w:val="20"/>
          <w:lang w:val="ru-RU"/>
        </w:rPr>
        <w:t>ов</w:t>
      </w:r>
      <w:r>
        <w:rPr>
          <w:rFonts w:ascii="Arial" w:hAnsi="Arial"/>
          <w:sz w:val="20"/>
          <w:szCs w:val="20"/>
          <w:lang w:val="ru-RU"/>
        </w:rPr>
        <w:t xml:space="preserve"> </w:t>
      </w:r>
      <w:r>
        <w:rPr>
          <w:rFonts w:ascii="Arial" w:hAnsi="Arial"/>
          <w:sz w:val="20"/>
          <w:szCs w:val="20"/>
          <w:lang w:val="ru-RU"/>
        </w:rPr>
        <w:t xml:space="preserve"> [3]</w:t>
      </w:r>
      <w:r>
        <w:rPr>
          <w:rFonts w:ascii="Arial" w:hAnsi="Arial"/>
          <w:sz w:val="20"/>
          <w:szCs w:val="20"/>
          <w:lang w:val="ru-RU"/>
        </w:rPr>
        <w:t>.</w:t>
      </w:r>
    </w:p>
    <w:p>
      <w:pPr>
        <w:pStyle w:val="Style19"/>
        <w:widowControl/>
        <w:overflowPunct w:val="true"/>
        <w:bidi w:val="0"/>
        <w:spacing w:lineRule="auto" w:line="276" w:before="0" w:after="0"/>
        <w:ind w:left="0" w:right="0" w:firstLine="567"/>
        <w:jc w:val="both"/>
        <w:rPr>
          <w:rFonts w:ascii="Arial" w:hAnsi="Arial"/>
          <w:sz w:val="20"/>
          <w:szCs w:val="20"/>
        </w:rPr>
      </w:pPr>
      <w:r>
        <w:rPr>
          <w:rFonts w:ascii="Arial" w:hAnsi="Arial"/>
          <w:sz w:val="20"/>
          <w:szCs w:val="20"/>
          <w:lang w:val="ru-RU"/>
        </w:rPr>
        <w:t>М</w:t>
      </w:r>
      <w:r>
        <w:rPr>
          <w:rFonts w:ascii="Arial" w:hAnsi="Arial"/>
          <w:sz w:val="20"/>
          <w:szCs w:val="20"/>
          <w:lang w:val="ru-RU"/>
        </w:rPr>
        <w:t xml:space="preserve">ы исследовали </w:t>
      </w:r>
      <w:r>
        <w:rPr>
          <w:rFonts w:ascii="Arial" w:hAnsi="Arial"/>
          <w:sz w:val="20"/>
          <w:szCs w:val="20"/>
          <w:lang w:val="ru-RU"/>
        </w:rPr>
        <w:t>свойства</w:t>
      </w:r>
      <w:r>
        <w:rPr>
          <w:rFonts w:ascii="Arial" w:hAnsi="Arial"/>
          <w:sz w:val="20"/>
          <w:szCs w:val="20"/>
          <w:lang w:val="ru-RU"/>
        </w:rPr>
        <w:t xml:space="preserve"> АДТФ, а также тозилатных и тетрафторборатных солей в газовой фазе методами масс-спектрометрии при использовании ионизации электроспреем (ESI). Обнаружено, что арендиазоний сульфонаты, также как тетрафторбораты образуют солевые кластерные частицы в условиях ESI ионизации. При этом выявлено, что в газовой фазе кроме процессов фрагментации, происходят процессы с участием интермедиатов бензинового ряда (производных циклогекса-1,3-диенина) с последующими процессами полимеризации. Образование этих интермедиатов обусловлено переходом </w:t>
      </w:r>
      <w:r>
        <w:rPr>
          <w:rFonts w:ascii="Arial" w:hAnsi="Arial"/>
          <w:i/>
          <w:iCs/>
          <w:sz w:val="20"/>
          <w:szCs w:val="20"/>
          <w:lang w:val="ru-RU"/>
        </w:rPr>
        <w:t>орто</w:t>
      </w:r>
      <w:r>
        <w:rPr>
          <w:rFonts w:ascii="Arial" w:hAnsi="Arial"/>
          <w:sz w:val="20"/>
          <w:szCs w:val="20"/>
          <w:lang w:val="ru-RU"/>
        </w:rPr>
        <w:t>-протона диазонийкатионов (ДК) к аниону трифторметансульфокислоты.</w:t>
      </w:r>
    </w:p>
    <w:p>
      <w:pPr>
        <w:pStyle w:val="Style19"/>
        <w:widowControl/>
        <w:overflowPunct w:val="true"/>
        <w:bidi w:val="0"/>
        <w:spacing w:lineRule="exact" w:line="227" w:before="0" w:after="0"/>
        <w:ind w:left="0" w:right="0" w:firstLine="567"/>
        <w:jc w:val="both"/>
        <w:rPr>
          <w:rFonts w:ascii="Arial" w:hAnsi="Arial"/>
          <w:sz w:val="20"/>
          <w:szCs w:val="20"/>
        </w:rPr>
      </w:pPr>
      <w:r>
        <w:rPr>
          <w:rFonts w:ascii="Arial" w:hAnsi="Arial"/>
          <w:sz w:val="20"/>
          <w:szCs w:val="20"/>
          <w:lang w:val="ru-RU"/>
        </w:rPr>
        <w:t>Была изучена сравнительная стабильность ДК при различных энергиях фрагментации, построены кривые зависимости степени фрагментации от энергии в ячейке соударений. Для описания влияния анионов была исследована фрагментация солевых кластерных частиц содержащих два диазоний катиона и анион. В результате был выявлен факт мощного стабилизирующего влияния анионов на стабильность диазоний катионов. На исходных масс-спектрах и спектрах фрагментации кластерных частиц полностью отсутствуют линии соответствующие потере азота, единственным путем их фрагментации солевых кластерных частиц является потеря катион-анионной пары, с последующим разрушением свободных ДК при высоких энергиях соударений. При этом ДК на спектрах фрагментации наблюдаются до энергий 40 эВ, по сравнению со свободными ДК, разрушение которых происходит полностью уже при энергиях менее 5 эВ. С</w:t>
      </w:r>
      <w:r>
        <w:rPr>
          <w:rFonts w:cs="Times" w:ascii="Arial" w:hAnsi="Arial"/>
          <w:sz w:val="20"/>
          <w:szCs w:val="20"/>
          <w:lang w:val="ru-RU"/>
        </w:rPr>
        <w:t>табилизация диазоний-катионов в кластерах зависит от природы анионов и установлен следующий порядок этой стабилизации TfO</w:t>
      </w:r>
      <w:r>
        <w:rPr>
          <w:rFonts w:cs="Times" w:ascii="Arial" w:hAnsi="Arial"/>
          <w:position w:val="8"/>
          <w:sz w:val="18"/>
          <w:szCs w:val="18"/>
          <w:lang w:val="ru-RU"/>
        </w:rPr>
        <w:t>-</w:t>
      </w:r>
      <w:r>
        <w:rPr>
          <w:rFonts w:cs="Times" w:ascii="Arial" w:hAnsi="Arial"/>
          <w:position w:val="8"/>
          <w:sz w:val="20"/>
          <w:szCs w:val="20"/>
          <w:lang w:val="ru-RU"/>
        </w:rPr>
        <w:t> </w:t>
      </w:r>
      <w:r>
        <w:rPr>
          <w:rFonts w:cs="Times" w:ascii="Arial" w:hAnsi="Arial"/>
          <w:sz w:val="20"/>
          <w:szCs w:val="20"/>
          <w:lang w:val="ru-RU"/>
        </w:rPr>
        <w:t>≈ TsO</w:t>
      </w:r>
      <w:r>
        <w:rPr>
          <w:rFonts w:cs="Times" w:ascii="Arial" w:hAnsi="Arial"/>
          <w:position w:val="8"/>
          <w:sz w:val="18"/>
          <w:szCs w:val="18"/>
          <w:lang w:val="ru-RU"/>
        </w:rPr>
        <w:t>-</w:t>
      </w:r>
      <w:r>
        <w:rPr>
          <w:rFonts w:cs="Times" w:ascii="Arial" w:hAnsi="Arial"/>
          <w:position w:val="8"/>
          <w:sz w:val="20"/>
          <w:szCs w:val="20"/>
          <w:lang w:val="ru-RU"/>
        </w:rPr>
        <w:t> </w:t>
      </w:r>
      <w:r>
        <w:rPr>
          <w:rFonts w:cs="Times" w:ascii="Arial" w:hAnsi="Arial"/>
          <w:sz w:val="20"/>
          <w:szCs w:val="20"/>
          <w:lang w:val="ru-RU"/>
        </w:rPr>
        <w:t>&gt; BF</w:t>
      </w:r>
      <w:r>
        <w:rPr>
          <w:rFonts w:cs="Times" w:ascii="Arial" w:hAnsi="Arial"/>
          <w:position w:val="-3"/>
          <w:sz w:val="18"/>
          <w:szCs w:val="18"/>
          <w:lang w:val="ru-RU"/>
        </w:rPr>
        <w:t>4</w:t>
      </w:r>
      <w:r>
        <w:rPr>
          <w:rFonts w:cs="Times" w:ascii="Arial" w:hAnsi="Arial"/>
          <w:position w:val="8"/>
          <w:sz w:val="18"/>
          <w:szCs w:val="18"/>
          <w:lang w:val="ru-RU"/>
        </w:rPr>
        <w:t>-</w:t>
      </w:r>
      <w:r>
        <w:rPr>
          <w:rFonts w:cs="Times" w:ascii="Arial" w:hAnsi="Arial"/>
          <w:sz w:val="20"/>
          <w:szCs w:val="20"/>
          <w:lang w:val="ru-RU"/>
        </w:rPr>
        <w:t xml:space="preserve"> </w:t>
      </w:r>
      <w:r>
        <w:rPr>
          <w:rFonts w:cs="Times" w:ascii="Arial" w:hAnsi="Arial"/>
          <w:sz w:val="20"/>
          <w:szCs w:val="20"/>
          <w:lang w:val="ru-RU"/>
        </w:rPr>
        <w:t>(р</w:t>
      </w:r>
      <w:r>
        <w:rPr>
          <w:rFonts w:cs="Times" w:ascii="Arial" w:hAnsi="Arial"/>
          <w:sz w:val="20"/>
          <w:szCs w:val="20"/>
          <w:lang w:val="ru-RU"/>
        </w:rPr>
        <w:t>ис</w:t>
      </w:r>
      <w:r>
        <w:rPr>
          <w:rFonts w:cs="Times" w:ascii="Arial" w:hAnsi="Arial"/>
          <w:sz w:val="20"/>
          <w:szCs w:val="20"/>
          <w:lang w:val="ru-RU"/>
        </w:rPr>
        <w:t>унок</w:t>
      </w:r>
      <w:r>
        <w:rPr>
          <w:rFonts w:cs="Times" w:ascii="Arial" w:hAnsi="Arial"/>
          <w:sz w:val="20"/>
          <w:szCs w:val="20"/>
          <w:lang w:val="ru-RU"/>
        </w:rPr>
        <w:t xml:space="preserve"> 1</w:t>
      </w:r>
      <w:r>
        <w:rPr>
          <w:rFonts w:cs="Times" w:ascii="Arial" w:hAnsi="Arial"/>
          <w:sz w:val="20"/>
          <w:szCs w:val="20"/>
          <w:lang w:val="ru-RU"/>
        </w:rPr>
        <w:t>).</w:t>
      </w:r>
    </w:p>
    <w:p>
      <w:pPr>
        <w:pStyle w:val="Style19"/>
        <w:widowControl/>
        <w:overflowPunct w:val="true"/>
        <w:bidi w:val="0"/>
        <w:spacing w:lineRule="auto" w:line="276" w:before="0" w:after="0"/>
        <w:ind w:left="0" w:right="0" w:firstLine="567"/>
        <w:jc w:val="both"/>
        <w:rPr>
          <w:rFonts w:ascii="Arial" w:hAnsi="Arial"/>
          <w:sz w:val="20"/>
          <w:szCs w:val="20"/>
        </w:rPr>
      </w:pPr>
      <w:r>
        <w:rPr>
          <w:rFonts w:ascii="Arial" w:hAnsi="Arial"/>
          <w:sz w:val="20"/>
          <w:szCs w:val="20"/>
          <w:lang w:val="ru-RU"/>
        </w:rPr>
        <w:drawing>
          <wp:inline distT="0" distB="0" distL="0" distR="0">
            <wp:extent cx="5548630" cy="346011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548630" cy="3460115"/>
                    </a:xfrm>
                    <a:prstGeom prst="rect">
                      <a:avLst/>
                    </a:prstGeom>
                  </pic:spPr>
                </pic:pic>
              </a:graphicData>
            </a:graphic>
          </wp:inline>
        </w:drawing>
      </w:r>
    </w:p>
    <w:p>
      <w:pPr>
        <w:pStyle w:val="Style19"/>
        <w:widowControl/>
        <w:overflowPunct w:val="true"/>
        <w:bidi w:val="0"/>
        <w:spacing w:lineRule="auto" w:line="276" w:before="0" w:after="113"/>
        <w:ind w:left="0" w:right="0" w:hanging="0"/>
        <w:jc w:val="center"/>
        <w:rPr>
          <w:rFonts w:ascii="Arial" w:hAnsi="Arial"/>
          <w:sz w:val="20"/>
          <w:szCs w:val="20"/>
        </w:rPr>
      </w:pPr>
      <w:r>
        <w:rPr>
          <w:rFonts w:ascii="Arial" w:hAnsi="Arial"/>
          <w:sz w:val="20"/>
          <w:szCs w:val="20"/>
          <w:lang w:val="ru-RU"/>
        </w:rPr>
        <w:t>Рисунок 1. Кривые диссоциации свободных ДК и в составе солевых кластерных частиц</w:t>
      </w:r>
    </w:p>
    <w:p>
      <w:pPr>
        <w:pStyle w:val="Style19"/>
        <w:widowControl/>
        <w:overflowPunct w:val="true"/>
        <w:bidi w:val="0"/>
        <w:spacing w:lineRule="auto" w:line="276" w:before="0" w:after="57"/>
        <w:ind w:left="0" w:right="0" w:hanging="0"/>
        <w:jc w:val="center"/>
        <w:rPr>
          <w:rFonts w:ascii="Arial" w:hAnsi="Arial"/>
          <w:sz w:val="20"/>
          <w:szCs w:val="20"/>
        </w:rPr>
      </w:pPr>
      <w:r>
        <w:rPr>
          <w:rFonts w:ascii="Arial" w:hAnsi="Arial"/>
          <w:b/>
          <w:bCs/>
          <w:sz w:val="20"/>
          <w:szCs w:val="20"/>
          <w:lang w:val="ru-RU"/>
        </w:rPr>
        <w:t>Список литературы</w:t>
      </w:r>
    </w:p>
    <w:p>
      <w:pPr>
        <w:pStyle w:val="Style19"/>
        <w:widowControl/>
        <w:overflowPunct w:val="true"/>
        <w:bidi w:val="0"/>
        <w:spacing w:lineRule="auto" w:line="276" w:before="0" w:after="57"/>
        <w:ind w:left="283" w:right="0" w:hanging="283"/>
        <w:jc w:val="left"/>
        <w:rPr>
          <w:rFonts w:ascii="Arial" w:hAnsi="Arial"/>
          <w:sz w:val="20"/>
          <w:szCs w:val="20"/>
        </w:rPr>
      </w:pPr>
      <w:r>
        <w:rPr>
          <w:rFonts w:ascii="Arial" w:hAnsi="Arial"/>
          <w:sz w:val="20"/>
          <w:szCs w:val="20"/>
          <w:lang w:val="ru-RU"/>
        </w:rPr>
        <w:t>[</w:t>
      </w:r>
      <w:r>
        <w:rPr>
          <w:rFonts w:ascii="Arial" w:hAnsi="Arial"/>
          <w:sz w:val="20"/>
          <w:szCs w:val="20"/>
          <w:lang w:val="ru-RU"/>
        </w:rPr>
        <w:t>1</w:t>
      </w:r>
      <w:r>
        <w:rPr>
          <w:rFonts w:ascii="Arial" w:hAnsi="Arial"/>
          <w:sz w:val="20"/>
          <w:szCs w:val="20"/>
          <w:lang w:val="ru-RU"/>
        </w:rPr>
        <w:t xml:space="preserve">] </w:t>
      </w:r>
      <w:r>
        <w:rPr>
          <w:rFonts w:ascii="Arial" w:hAnsi="Arial"/>
          <w:sz w:val="20"/>
          <w:szCs w:val="20"/>
          <w:lang w:val="ru-RU"/>
        </w:rPr>
        <w:t xml:space="preserve">Bondarev A.A., Naumov E.V., Kassanova A.Z., Krasnokutskaya E.A., Stankevich K.S., Filimonov V.D. Organic Process Research and Development, </w:t>
      </w:r>
      <w:r>
        <w:rPr>
          <w:rFonts w:ascii="Arial" w:hAnsi="Arial"/>
          <w:b/>
          <w:bCs/>
          <w:sz w:val="20"/>
          <w:szCs w:val="20"/>
          <w:lang w:val="ru-RU"/>
        </w:rPr>
        <w:t>2019,</w:t>
      </w:r>
      <w:r>
        <w:rPr>
          <w:rFonts w:ascii="Arial" w:hAnsi="Arial"/>
          <w:sz w:val="20"/>
          <w:szCs w:val="20"/>
          <w:lang w:val="ru-RU"/>
        </w:rPr>
        <w:t xml:space="preserve"> 23, 2405-2415</w:t>
      </w:r>
    </w:p>
    <w:p>
      <w:pPr>
        <w:pStyle w:val="Style19"/>
        <w:widowControl/>
        <w:overflowPunct w:val="true"/>
        <w:bidi w:val="0"/>
        <w:spacing w:lineRule="auto" w:line="276" w:before="0" w:after="57"/>
        <w:ind w:left="283" w:right="0" w:hanging="283"/>
        <w:jc w:val="left"/>
        <w:rPr>
          <w:rFonts w:ascii="Arial" w:hAnsi="Arial"/>
          <w:sz w:val="20"/>
          <w:szCs w:val="20"/>
        </w:rPr>
      </w:pPr>
      <w:r>
        <w:rPr>
          <w:rFonts w:ascii="Arial" w:hAnsi="Arial"/>
          <w:sz w:val="20"/>
          <w:szCs w:val="20"/>
          <w:lang w:val="ru-RU"/>
        </w:rPr>
        <w:t>[</w:t>
      </w:r>
      <w:r>
        <w:rPr>
          <w:rFonts w:ascii="Arial" w:hAnsi="Arial"/>
          <w:sz w:val="20"/>
          <w:szCs w:val="20"/>
          <w:lang w:val="ru-RU"/>
        </w:rPr>
        <w:t>2</w:t>
      </w:r>
      <w:r>
        <w:rPr>
          <w:rFonts w:ascii="Arial" w:hAnsi="Arial"/>
          <w:sz w:val="20"/>
          <w:szCs w:val="20"/>
          <w:lang w:val="ru-RU"/>
        </w:rPr>
        <w:t xml:space="preserve">] </w:t>
      </w:r>
      <w:r>
        <w:rPr>
          <w:rFonts w:ascii="Arial" w:hAnsi="Arial"/>
          <w:sz w:val="20"/>
          <w:szCs w:val="20"/>
          <w:lang w:val="ru-RU"/>
        </w:rPr>
        <w:t xml:space="preserve">Filimonov V.D., Krasnokutskaya E.A., Kassanova A.Zh., Fedorova V.A., Stankevich K.S., Naumov N.G., Bondarev A.A., Kataeva V.A. Eur. J. Org. Chem. </w:t>
      </w:r>
      <w:r>
        <w:rPr>
          <w:rFonts w:ascii="Arial" w:hAnsi="Arial"/>
          <w:b/>
          <w:bCs/>
          <w:sz w:val="20"/>
          <w:szCs w:val="20"/>
          <w:lang w:val="ru-RU"/>
        </w:rPr>
        <w:t>2019</w:t>
      </w:r>
      <w:r>
        <w:rPr>
          <w:rFonts w:ascii="Arial" w:hAnsi="Arial"/>
          <w:sz w:val="20"/>
          <w:szCs w:val="20"/>
          <w:lang w:val="ru-RU"/>
        </w:rPr>
        <w:t>, 4, 665–674</w:t>
      </w:r>
    </w:p>
    <w:p>
      <w:pPr>
        <w:pStyle w:val="Style19"/>
        <w:widowControl/>
        <w:overflowPunct w:val="true"/>
        <w:bidi w:val="0"/>
        <w:spacing w:lineRule="auto" w:line="276" w:before="0" w:after="57"/>
        <w:ind w:left="283" w:right="0" w:hanging="283"/>
        <w:jc w:val="left"/>
        <w:rPr/>
      </w:pPr>
      <w:r>
        <w:rPr>
          <w:rFonts w:ascii="Arial" w:hAnsi="Arial"/>
          <w:sz w:val="20"/>
          <w:szCs w:val="20"/>
          <w:lang w:val="ru-RU"/>
        </w:rPr>
        <w:t>[</w:t>
      </w:r>
      <w:r>
        <w:rPr>
          <w:rFonts w:ascii="Arial" w:hAnsi="Arial"/>
          <w:sz w:val="20"/>
          <w:szCs w:val="20"/>
          <w:lang w:val="ru-RU"/>
        </w:rPr>
        <w:t>3</w:t>
      </w:r>
      <w:r>
        <w:rPr>
          <w:rFonts w:ascii="Arial" w:hAnsi="Arial"/>
          <w:sz w:val="20"/>
          <w:szCs w:val="20"/>
          <w:lang w:val="ru-RU"/>
        </w:rPr>
        <w:t xml:space="preserve">] Vrkic A.K., O'Hair R.A.  International Journal of Mass Spectrometry, </w:t>
      </w:r>
      <w:r>
        <w:rPr>
          <w:rFonts w:ascii="Arial" w:hAnsi="Arial"/>
          <w:b/>
          <w:bCs/>
          <w:sz w:val="20"/>
          <w:szCs w:val="20"/>
          <w:lang w:val="ru-RU"/>
        </w:rPr>
        <w:t>2002</w:t>
      </w:r>
      <w:r>
        <w:rPr>
          <w:rFonts w:ascii="Arial" w:hAnsi="Arial"/>
          <w:sz w:val="20"/>
          <w:szCs w:val="20"/>
          <w:lang w:val="ru-RU"/>
        </w:rPr>
        <w:t>, 218, 131–160</w:t>
      </w:r>
    </w:p>
    <w:sectPr>
      <w:type w:val="nextPage"/>
      <w:pgSz w:w="11906" w:h="16838"/>
      <w:pgMar w:left="1417" w:right="567" w:header="0" w:top="850" w:footer="0" w:bottom="85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auto"/>
    <w:pitch w:val="default"/>
  </w:font>
  <w:font w:name="OpenSymbol">
    <w:altName w:val="Arial Unicode MS"/>
    <w:charset w:val="02"/>
    <w:family w:val="auto"/>
    <w:pitch w:val="default"/>
  </w:font>
  <w:font w:name="Liberation Sans">
    <w:altName w:val="Arial"/>
    <w:charset w:val="01"/>
    <w:family w:val="auto"/>
    <w:pitch w:val="default"/>
  </w:font>
  <w:font w:name="Arial">
    <w:charset w:val="01"/>
    <w:family w:val="swiss"/>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0"/>
        <w:szCs w:val="24"/>
        <w:lang w:val="ru-RU"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erif CJK SC" w:cs="FreeSans"/>
      <w:color w:val="00000A"/>
      <w:sz w:val="24"/>
      <w:szCs w:val="24"/>
      <w:lang w:val="ru-RU" w:eastAsia="zh-CN" w:bidi="hi-IN"/>
    </w:rPr>
  </w:style>
  <w:style w:type="character" w:styleId="Style14">
    <w:name w:val="Интернет-ссылка"/>
    <w:rPr>
      <w:color w:val="000080"/>
      <w:u w:val="single"/>
    </w:rPr>
  </w:style>
  <w:style w:type="character" w:styleId="ListLabel519">
    <w:name w:val="ListLabel 519"/>
    <w:qFormat/>
    <w:rPr>
      <w:lang w:val="ru-RU"/>
    </w:rPr>
  </w:style>
  <w:style w:type="character" w:styleId="Style15">
    <w:name w:val="Выделение"/>
    <w:qFormat/>
    <w:rPr>
      <w:i/>
      <w:iCs/>
    </w:rPr>
  </w:style>
  <w:style w:type="character" w:styleId="Style16">
    <w:name w:val="Выделение жирным"/>
    <w:qFormat/>
    <w:rPr>
      <w:b/>
      <w:bCs/>
    </w:rPr>
  </w:style>
  <w:style w:type="character" w:styleId="Style17">
    <w:name w:val="Маркеры списка"/>
    <w:qFormat/>
    <w:rPr>
      <w:rFonts w:ascii="OpenSymbol" w:hAnsi="OpenSymbol" w:eastAsia="OpenSymbol" w:cs="OpenSymbol"/>
    </w:rPr>
  </w:style>
  <w:style w:type="paragraph" w:styleId="Style18">
    <w:name w:val="Заголовок"/>
    <w:basedOn w:val="Normal"/>
    <w:next w:val="Style19"/>
    <w:qFormat/>
    <w:pPr>
      <w:keepNext/>
      <w:spacing w:before="240" w:after="120"/>
    </w:pPr>
    <w:rPr>
      <w:rFonts w:ascii="Liberation Sans" w:hAnsi="Liberation Sans" w:eastAsia="Noto Sans CJK SC Regular" w:cs="Free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Free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Style23">
    <w:name w:val="Содержимое врезки"/>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TotalTime>
  <Application>LibreOffice/5.2.7.2$Linux_X86_64 LibreOffice_project/20m0$Build-2</Application>
  <Pages>1</Pages>
  <Words>401</Words>
  <Characters>2850</Characters>
  <CharactersWithSpaces>3238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2021-04-22T17:24:56Z</dcterms:created>
  <dc:creator>Александр Александрович Бондарев</dc:creator>
  <dc:description/>
  <dc:language>en-US</dc:language>
  <cp:lastModifiedBy>Александр Александрович Бондарев</cp:lastModifiedBy>
  <cp:lastPrinted>2021-05-25T14:56:39Z</cp:lastPrinted>
  <dcterms:modified xsi:type="dcterms:W3CDTF">2021-05-25T15:03:00Z</dcterms:modified>
  <cp:revision>31</cp:revision>
  <dc:subject/>
  <dc:title/>
</cp:coreProperties>
</file>