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Исследование процессов распада интермедиатов (I)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120130" cy="45897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813685" cy="81407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88"/>
        <w:jc w:val="center"/>
        <w:rPr/>
      </w:pPr>
      <w:r>
        <w:rPr/>
        <w:t xml:space="preserve">Рис. 1. Зависимость энергии интермедиатов (I) при увеличении дины связи C-N в </w:t>
      </w:r>
    </w:p>
    <w:p>
      <w:pPr>
        <w:pStyle w:val="Normal"/>
        <w:bidi w:val="0"/>
        <w:spacing w:lineRule="auto" w:line="288"/>
        <w:jc w:val="center"/>
        <w:rPr/>
      </w:pPr>
      <w:r>
        <w:rPr/>
        <w:t xml:space="preserve">процессе отщепления азота с образованием производных бензина (F), </w:t>
      </w:r>
    </w:p>
    <w:p>
      <w:pPr>
        <w:pStyle w:val="Normal"/>
        <w:bidi w:val="0"/>
        <w:spacing w:lineRule="auto" w:line="288"/>
        <w:jc w:val="center"/>
        <w:rPr/>
      </w:pPr>
      <w:r>
        <w:rPr/>
        <w:t>рассчитанная  методом DFT Restricted B3LYP в базисе aug</w:t>
        <w:noBreakHyphen/>
        <w:t>cc</w:t>
        <w:noBreakHyphen/>
        <w:t>pVDZ</w:t>
      </w:r>
    </w:p>
    <w:p>
      <w:pPr>
        <w:pStyle w:val="Normal"/>
        <w:bidi w:val="0"/>
        <w:spacing w:lineRule="auto" w:line="288"/>
        <w:jc w:val="center"/>
        <w:rPr/>
      </w:pPr>
      <w:r>
        <w:rPr/>
      </w:r>
      <w:r>
        <w:br w:type="page"/>
      </w:r>
    </w:p>
    <w:p>
      <w:pPr>
        <w:pStyle w:val="Normal"/>
        <w:bidi w:val="0"/>
        <w:spacing w:lineRule="auto" w:line="264"/>
        <w:jc w:val="right"/>
        <w:rPr/>
      </w:pPr>
      <w:r>
        <w:rPr/>
        <w:t xml:space="preserve">Таблица 1. </w:t>
      </w:r>
    </w:p>
    <w:p>
      <w:pPr>
        <w:pStyle w:val="Normal"/>
        <w:bidi w:val="0"/>
        <w:spacing w:lineRule="auto" w:line="264"/>
        <w:jc w:val="center"/>
        <w:rPr/>
      </w:pPr>
      <w:r>
        <w:rPr/>
        <w:t xml:space="preserve">Результаты сканирование ППЭ отщепления азота от интермедиатов (I) с образованием бензин-производных (F) при увеличении длины связы C-N, (DFT R-B3LYP aug-cc-pVDZ), </w:t>
      </w:r>
    </w:p>
    <w:p>
      <w:pPr>
        <w:pStyle w:val="Normal"/>
        <w:bidi w:val="0"/>
        <w:spacing w:lineRule="auto" w:line="264"/>
        <w:jc w:val="center"/>
        <w:rPr/>
      </w:pPr>
      <w:r>
        <w:rPr>
          <w:i/>
          <w:iCs/>
        </w:rPr>
        <w:t>энергии приведены относительно соответствующих бензин производных</w:t>
      </w:r>
      <w:r>
        <w:rPr/>
        <w:t>.</w:t>
      </w:r>
    </w:p>
    <w:p>
      <w:pPr>
        <w:pStyle w:val="Normal"/>
        <w:bidi w:val="0"/>
        <w:spacing w:lineRule="auto" w:line="264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5000" w:type="pct"/>
        <w:jc w:val="left"/>
        <w:tblInd w:w="-11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7" w:type="dxa"/>
          <w:bottom w:w="28" w:type="dxa"/>
          <w:right w:w="28" w:type="dxa"/>
        </w:tblCellMar>
      </w:tblPr>
      <w:tblGrid>
        <w:gridCol w:w="450"/>
        <w:gridCol w:w="3462"/>
        <w:gridCol w:w="1476"/>
        <w:gridCol w:w="1586"/>
        <w:gridCol w:w="0"/>
        <w:gridCol w:w="675"/>
        <w:gridCol w:w="2"/>
        <w:gridCol w:w="1986"/>
      </w:tblGrid>
      <w:tr>
        <w:trPr/>
        <w:tc>
          <w:tcPr>
            <w:tcW w:w="450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462" w:type="dxa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17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Process</w:t>
            </w:r>
          </w:p>
        </w:tc>
        <w:tc>
          <w:tcPr>
            <w:tcW w:w="3062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/>
            </w:pPr>
            <w:r>
              <w:rPr>
                <w:rFonts w:ascii="Standard Symbols L" w:hAnsi="Standard Symbols L"/>
                <w:b/>
                <w:bCs/>
                <w:sz w:val="16"/>
                <w:szCs w:val="16"/>
              </w:rPr>
              <w:t></w:t>
            </w: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0</w:t>
            </w:r>
            <w:bookmarkStart w:id="0" w:name="__DdeLink__23054_2063095149"/>
            <w:r>
              <w:rPr>
                <w:b/>
                <w:bCs/>
                <w:sz w:val="20"/>
                <w:szCs w:val="20"/>
              </w:rPr>
              <w:t>, kJ/mol</w:t>
            </w:r>
            <w:bookmarkEnd w:id="0"/>
            <w:r>
              <w:rPr>
                <w:b/>
                <w:bCs/>
                <w:sz w:val="20"/>
                <w:szCs w:val="20"/>
              </w:rPr>
              <w:t xml:space="preserve">  (dC-N, </w:t>
            </w:r>
            <w:r>
              <w:rPr>
                <w:rFonts w:eastAsia="Noto Sans CJK SC DemiLight" w:cs="FreeSans"/>
                <w:b/>
                <w:bCs/>
                <w:sz w:val="20"/>
                <w:szCs w:val="20"/>
              </w:rPr>
              <w:t>Å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75" w:type="dxa"/>
            <w:gridSpan w:val="2"/>
            <w:vMerge w:val="restart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  <w:vertAlign w:val="subscript"/>
              </w:rPr>
              <w:t>A</w:t>
            </w:r>
            <w:r>
              <w:rPr>
                <w:b/>
                <w:bCs/>
                <w:sz w:val="20"/>
                <w:szCs w:val="20"/>
              </w:rPr>
              <w:t>, kJ/mol</w:t>
            </w:r>
          </w:p>
        </w:tc>
        <w:tc>
          <w:tcPr>
            <w:tcW w:w="1988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Наблюдаемые процессы в MS-ESI 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эксперименте</w:t>
            </w:r>
          </w:p>
        </w:tc>
      </w:tr>
      <w:tr>
        <w:trPr/>
        <w:tc>
          <w:tcPr>
            <w:tcW w:w="450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3462" w:type="dxa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интермедиата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переходного состояния</w:t>
            </w:r>
          </w:p>
        </w:tc>
        <w:tc>
          <w:tcPr>
            <w:tcW w:w="677" w:type="dxa"/>
            <w:gridSpan w:val="2"/>
            <w:vMerge w:val="continue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1a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4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104.4</w:t>
            </w:r>
            <w:r>
              <w:rPr>
                <w:rFonts w:ascii="FreeSans" w:hAnsi="FreeSans"/>
                <w:sz w:val="20"/>
                <w:szCs w:val="20"/>
              </w:rPr>
              <w:t xml:space="preserve"> 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114.3</w:t>
            </w:r>
            <w:r>
              <w:rPr>
                <w:rFonts w:ascii="FreeSans" w:hAnsi="FreeSans"/>
                <w:sz w:val="20"/>
                <w:szCs w:val="20"/>
              </w:rPr>
              <w:t xml:space="preserve">  (1.602</w:t>
            </w:r>
            <w:r>
              <w:rPr>
                <w:rFonts w:eastAsia="Noto Sans CJK SC DemiLight" w:cs="FreeSans" w:ascii="FreeSans" w:hAnsi="FreeSans"/>
                <w:b/>
                <w:bCs/>
                <w:sz w:val="20"/>
                <w:szCs w:val="20"/>
              </w:rPr>
              <w:t>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9.9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1e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4-MeO-C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4-MeO-C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 xml:space="preserve">80.9 </w:t>
            </w:r>
            <w:r>
              <w:rPr>
                <w:rFonts w:ascii="FreeSans" w:hAnsi="FreeSans"/>
                <w:sz w:val="20"/>
                <w:szCs w:val="20"/>
              </w:rPr>
              <w:t xml:space="preserve"> (1.381 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99.4</w:t>
            </w:r>
            <w:r>
              <w:rPr>
                <w:rFonts w:ascii="FreeSans" w:hAnsi="FreeSans"/>
                <w:sz w:val="20"/>
                <w:szCs w:val="20"/>
              </w:rPr>
              <w:t xml:space="preserve"> (1.622 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18.5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1d, 2, 3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101.1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108.4</w:t>
            </w:r>
            <w:r>
              <w:rPr>
                <w:rFonts w:ascii="FreeSans" w:hAnsi="FreeSans"/>
                <w:sz w:val="20"/>
                <w:szCs w:val="20"/>
              </w:rPr>
              <w:t xml:space="preserve"> (1.602 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7.3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1c (v1)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97.4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105.9</w:t>
            </w:r>
            <w:r>
              <w:rPr>
                <w:rFonts w:ascii="FreeSans" w:hAnsi="FreeSans"/>
                <w:sz w:val="20"/>
                <w:szCs w:val="20"/>
              </w:rPr>
              <w:t xml:space="preserve"> (1.602 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8.5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1c (v2) 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3-NO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89.5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97.1</w:t>
            </w:r>
            <w:r>
              <w:rPr>
                <w:rFonts w:ascii="FreeSans" w:hAnsi="FreeSans"/>
                <w:sz w:val="20"/>
                <w:szCs w:val="20"/>
              </w:rPr>
              <w:t xml:space="preserve"> (1.592 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7.6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1b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2-NO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105.4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114.6</w:t>
            </w:r>
            <w:r>
              <w:rPr>
                <w:rFonts w:ascii="FreeSans" w:hAnsi="FreeSans"/>
                <w:sz w:val="20"/>
                <w:szCs w:val="20"/>
              </w:rPr>
              <w:t xml:space="preserve"> (1.632 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9.5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1h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90.0</w:t>
            </w:r>
            <w:r>
              <w:rPr>
                <w:rFonts w:ascii="FreeSans" w:hAnsi="FreeSans"/>
                <w:sz w:val="20"/>
                <w:szCs w:val="20"/>
              </w:rPr>
              <w:t xml:space="preserve"> (1.391 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103.0</w:t>
            </w:r>
            <w:r>
              <w:rPr>
                <w:rFonts w:ascii="FreeSans" w:hAnsi="FreeSans"/>
                <w:sz w:val="20"/>
                <w:szCs w:val="20"/>
              </w:rPr>
              <w:t xml:space="preserve"> (1.622 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13.0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Только азосочетание.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1g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sz w:val="22"/>
                <w:szCs w:val="22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4-HCO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108.8</w:t>
            </w:r>
            <w:r>
              <w:rPr>
                <w:rFonts w:ascii="FreeSans" w:hAnsi="FreeSans"/>
                <w:sz w:val="20"/>
                <w:szCs w:val="20"/>
              </w:rPr>
              <w:t xml:space="preserve">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116.0</w:t>
            </w:r>
            <w:r>
              <w:rPr>
                <w:rFonts w:ascii="FreeSans" w:hAnsi="FreeSans"/>
                <w:sz w:val="20"/>
                <w:szCs w:val="20"/>
              </w:rPr>
              <w:t xml:space="preserve"> (1.592 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7.2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1f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= 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3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108.7</w:t>
            </w:r>
            <w:r>
              <w:rPr>
                <w:rFonts w:ascii="FreeSans" w:hAnsi="FreeSans"/>
                <w:sz w:val="20"/>
                <w:szCs w:val="20"/>
              </w:rPr>
              <w:t xml:space="preserve"> (1.411 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117.5</w:t>
            </w:r>
            <w:r>
              <w:rPr>
                <w:rFonts w:ascii="FreeSans" w:hAnsi="FreeSans"/>
                <w:sz w:val="20"/>
                <w:szCs w:val="20"/>
              </w:rPr>
              <w:t xml:space="preserve"> (1.612 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8.8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Азосочетание с последующей полимеризацией.</w:t>
            </w:r>
          </w:p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Полимеризация бензин производного.</w:t>
            </w:r>
          </w:p>
        </w:tc>
      </w:tr>
      <w:tr>
        <w:trPr/>
        <w:tc>
          <w:tcPr>
            <w:tcW w:w="450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1i</w:t>
            </w:r>
          </w:p>
        </w:tc>
        <w:tc>
          <w:tcPr>
            <w:tcW w:w="3462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-4-BrC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N</w:t>
            </w:r>
            <w:r>
              <w:rPr>
                <w:sz w:val="22"/>
                <w:szCs w:val="22"/>
                <w:vertAlign w:val="subscript"/>
                <w:lang w:val="en-US"/>
              </w:rPr>
              <w:t xml:space="preserve">2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= </w:t>
            </w:r>
          </w:p>
          <w:p>
            <w:pPr>
              <w:pStyle w:val="Style19"/>
              <w:widowControl/>
              <w:suppressLineNumbers/>
              <w:bidi w:val="0"/>
              <w:spacing w:lineRule="auto" w:line="264"/>
              <w:ind w:left="170" w:right="0" w:hanging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  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2-HCO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-4-BrC</w:t>
            </w:r>
            <w:r>
              <w:rPr>
                <w:sz w:val="22"/>
                <w:szCs w:val="22"/>
                <w:vertAlign w:val="subscript"/>
                <w:lang w:val="en-US"/>
              </w:rPr>
              <w:t>6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>H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  <w:r>
              <w:rPr>
                <w:position w:val="0"/>
                <w:sz w:val="22"/>
                <w:sz w:val="22"/>
                <w:szCs w:val="22"/>
                <w:vertAlign w:val="baseline"/>
                <w:lang w:val="en-US"/>
              </w:rPr>
              <w:t xml:space="preserve"> + N</w:t>
            </w:r>
            <w:r>
              <w:rPr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147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94.6</w:t>
            </w:r>
            <w:r>
              <w:rPr>
                <w:rFonts w:ascii="FreeSans" w:hAnsi="FreeSans"/>
                <w:sz w:val="20"/>
                <w:szCs w:val="20"/>
              </w:rPr>
              <w:t xml:space="preserve"> (1.401 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1586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right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106.8</w:t>
            </w:r>
            <w:r>
              <w:rPr>
                <w:rFonts w:ascii="FreeSans" w:hAnsi="FreeSans"/>
                <w:sz w:val="20"/>
                <w:szCs w:val="20"/>
              </w:rPr>
              <w:t xml:space="preserve"> (1.632 </w:t>
            </w:r>
            <w:r>
              <w:rPr>
                <w:rFonts w:eastAsia="Noto Sans CJK SC DemiLight" w:cs="FreeSans"/>
                <w:b w:val="false"/>
                <w:bCs w:val="false"/>
                <w:sz w:val="20"/>
                <w:szCs w:val="20"/>
              </w:rPr>
              <w:t>Å</w:t>
            </w:r>
            <w:r>
              <w:rPr>
                <w:rFonts w:ascii="FreeSans" w:hAnsi="FreeSans"/>
                <w:sz w:val="20"/>
                <w:szCs w:val="20"/>
              </w:rPr>
              <w:t>)</w:t>
            </w:r>
          </w:p>
        </w:tc>
        <w:tc>
          <w:tcPr>
            <w:tcW w:w="677" w:type="dxa"/>
            <w:gridSpan w:val="2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b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12.2</w:t>
            </w:r>
          </w:p>
        </w:tc>
        <w:tc>
          <w:tcPr>
            <w:tcW w:w="198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-7" w:type="dxa"/>
            </w:tcMar>
            <w:vAlign w:val="center"/>
          </w:tcPr>
          <w:p>
            <w:pPr>
              <w:pStyle w:val="Style19"/>
              <w:bidi w:val="0"/>
              <w:spacing w:lineRule="auto" w:line="264"/>
              <w:ind w:left="0" w:right="0" w:hanging="0"/>
              <w:jc w:val="center"/>
              <w:rPr>
                <w:rFonts w:ascii="FreeSans" w:hAnsi="FreeSans"/>
                <w:sz w:val="20"/>
                <w:szCs w:val="20"/>
              </w:rPr>
            </w:pPr>
            <w:r>
              <w:rPr>
                <w:rFonts w:ascii="FreeSans" w:hAnsi="FreeSans"/>
                <w:sz w:val="20"/>
                <w:szCs w:val="20"/>
              </w:rPr>
              <w:t>Только азосочетание.</w:t>
            </w:r>
          </w:p>
        </w:tc>
      </w:tr>
    </w:tbl>
    <w:p>
      <w:pPr>
        <w:pStyle w:val="Normal"/>
        <w:bidi w:val="0"/>
        <w:spacing w:lineRule="auto" w:line="264"/>
        <w:jc w:val="right"/>
        <w:rPr/>
      </w:pPr>
      <w:r>
        <w:rPr/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  <w:t xml:space="preserve">Энергетика распада неплохо согласуется с экспериментом, там где энергетический барьер выше (метокси </w:t>
      </w:r>
      <w:r>
        <w:rPr>
          <w:b/>
          <w:bCs/>
        </w:rPr>
        <w:t>1e</w:t>
      </w:r>
      <w:r>
        <w:rPr/>
        <w:t xml:space="preserve">, бром производные </w:t>
      </w:r>
      <w:r>
        <w:rPr>
          <w:b/>
          <w:bCs/>
        </w:rPr>
        <w:t>1h</w:t>
      </w:r>
      <w:r>
        <w:rPr/>
        <w:t xml:space="preserve">, </w:t>
      </w:r>
      <w:r>
        <w:rPr>
          <w:b/>
          <w:bCs/>
        </w:rPr>
        <w:t>1i</w:t>
      </w:r>
      <w:r>
        <w:rPr/>
        <w:t>), наблюдается в основном процессы азосочетания. Там где устойчивость интермедиата низкая (</w:t>
      </w:r>
      <w:r>
        <w:rPr>
          <w:b/>
          <w:bCs/>
        </w:rPr>
        <w:t>1a</w:t>
      </w:r>
      <w:r>
        <w:rPr/>
        <w:t xml:space="preserve">, </w:t>
      </w:r>
      <w:r>
        <w:rPr>
          <w:b/>
          <w:bCs/>
        </w:rPr>
        <w:t>1g</w:t>
      </w:r>
      <w:r>
        <w:rPr/>
        <w:t xml:space="preserve">, </w:t>
      </w:r>
      <w:r>
        <w:rPr>
          <w:b/>
          <w:bCs/>
        </w:rPr>
        <w:t>1f</w:t>
      </w:r>
      <w:r>
        <w:rPr/>
        <w:t>) наблюдается образование полимерных катионов без начального процесса азосочетания (только бензин производное). Исключение являются нитро-производные, там вероятно идет иное взаимодействие между катионами (неизвестная потеря массы 127) и процесс образования интермедиата (I) затруднен.</w:t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  <w:t>Высота энергетический барьера определяется устойчивостью самого интермедиата (I), в случае метокси- и бром- производных самые низкие значения энергии интермедиата и самые высокий барьер. Переходное состояние отличается в меньшей степени. С этим согласуются и длины связей, самые низкие значения для метокси- и бром- производных.</w:t>
      </w:r>
    </w:p>
    <w:p>
      <w:pPr>
        <w:pStyle w:val="Normal"/>
        <w:widowControl/>
        <w:bidi w:val="0"/>
        <w:spacing w:lineRule="auto" w:line="264"/>
        <w:ind w:left="0" w:right="0" w:firstLine="567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tandard Symbols L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LibreOffice/5.2.7.2$Linux_X86_64 LibreOffice_project/20m0$Build-2</Application>
  <Pages>3</Pages>
  <Words>349</Words>
  <Characters>2138</Characters>
  <CharactersWithSpaces>2420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2018-11-15T15:02:45Z</dcterms:created>
  <dc:creator>Александр Александрович Бондарев</dc:creator>
  <dc:description/>
  <dc:language>ru-RU</dc:language>
  <cp:lastModifiedBy>Александр Александрович Бондарев</cp:lastModifiedBy>
  <dcterms:modified xsi:type="dcterms:W3CDTF">2018-11-16T08:17:54Z</dcterms:modified>
  <cp:revision>14</cp:revision>
  <dc:subject/>
  <dc:title/>
</cp:coreProperties>
</file>