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overflowPunct w:val="true"/>
        <w:bidi w:val="0"/>
        <w:spacing w:before="0" w:after="170"/>
        <w:ind w:left="0" w:right="0" w:firstLine="567"/>
        <w:jc w:val="both"/>
        <w:rPr>
          <w:sz w:val="28"/>
          <w:szCs w:val="28"/>
        </w:rPr>
      </w:pPr>
      <w:r>
        <w:rPr>
          <w:b/>
          <w:bCs/>
          <w:sz w:val="28"/>
          <w:szCs w:val="28"/>
        </w:rPr>
        <w:t>Материалы и методы</w:t>
      </w:r>
    </w:p>
    <w:p>
      <w:pPr>
        <w:pStyle w:val="Normal"/>
        <w:widowControl/>
        <w:overflowPunct w:val="true"/>
        <w:bidi w:val="0"/>
        <w:ind w:left="0" w:right="0" w:firstLine="567"/>
        <w:jc w:val="left"/>
        <w:rPr/>
      </w:pPr>
      <w:r>
        <w:rPr>
          <w:b/>
          <w:bCs/>
        </w:rPr>
        <w:t>Р</w:t>
      </w:r>
      <w:r>
        <w:rPr>
          <w:b/>
          <w:bCs/>
        </w:rPr>
        <w:t xml:space="preserve">асчет энергетических диаграмм </w:t>
      </w:r>
      <w:r>
        <w:rPr>
          <w:b/>
          <w:bCs/>
        </w:rPr>
        <w:t>методом трассировки</w:t>
      </w:r>
      <w:r>
        <w:rPr>
          <w:b/>
          <w:bCs/>
        </w:rPr>
        <w:t xml:space="preserve"> молекулярных орбиталей </w:t>
      </w:r>
      <w:r>
        <w:rPr>
          <w:b/>
          <w:bCs/>
        </w:rPr>
        <w:t>(МТМО)</w:t>
      </w:r>
    </w:p>
    <w:p>
      <w:pPr>
        <w:pStyle w:val="Normal"/>
        <w:widowControl/>
        <w:overflowPunct w:val="true"/>
        <w:bidi w:val="0"/>
        <w:ind w:left="0" w:right="0" w:firstLine="567"/>
        <w:jc w:val="both"/>
        <w:rPr/>
      </w:pPr>
      <w:r>
        <w:rPr/>
        <w:t xml:space="preserve">Метод </w:t>
      </w:r>
      <w:r>
        <w:rPr/>
        <w:t>трассировки</w:t>
      </w:r>
      <w:r>
        <w:rPr/>
        <w:t xml:space="preserve"> молекулярных орбиталей </w:t>
      </w:r>
      <w:r>
        <w:rPr/>
        <w:t xml:space="preserve">(МТМО) </w:t>
      </w:r>
      <w:r>
        <w:rPr/>
        <w:t xml:space="preserve">основан на изучении динамики энергии и пространственного распределения индивидуальных </w:t>
      </w:r>
      <w:r>
        <w:rPr/>
        <w:t>МО</w:t>
      </w:r>
      <w:r>
        <w:rPr/>
        <w:t xml:space="preserve"> </w:t>
      </w:r>
      <w:r>
        <w:rPr/>
        <w:t>при разделении молекулярной системы</w:t>
      </w:r>
      <w:r>
        <w:rPr/>
        <w:t>, и применяется для детального изучения природы и механизма образования химических связей.</w:t>
      </w:r>
    </w:p>
    <w:p>
      <w:pPr>
        <w:pStyle w:val="Normal"/>
        <w:widowControl/>
        <w:overflowPunct w:val="true"/>
        <w:bidi w:val="0"/>
        <w:ind w:left="0" w:right="0" w:firstLine="567"/>
        <w:jc w:val="both"/>
        <w:rPr/>
      </w:pPr>
      <w:r>
        <w:rPr/>
        <w:t xml:space="preserve">На первом этапе </w:t>
      </w:r>
      <w:r>
        <w:rPr/>
        <w:t>рассчитыва</w:t>
      </w:r>
      <w:r>
        <w:rPr/>
        <w:t>ется</w:t>
      </w:r>
      <w:r>
        <w:rPr/>
        <w:t xml:space="preserve"> скан поверхности потенциальной энергии СППЭ при увеличении дистанции  </w:t>
      </w:r>
      <w:r>
        <w:rPr/>
        <w:t>между ядрами атомамов образующих химическую связь. Сканирование проводится</w:t>
      </w:r>
      <w:r>
        <w:rPr>
          <w:b w:val="false"/>
          <w:bCs w:val="false"/>
          <w:position w:val="0"/>
          <w:sz w:val="24"/>
          <w:vertAlign w:val="baseline"/>
        </w:rPr>
        <w:t xml:space="preserve"> в широком диапазоне, обычно</w:t>
      </w:r>
      <w:r>
        <w:rPr/>
        <w:t xml:space="preserve"> от 0.900 </w:t>
      </w:r>
      <w:r>
        <w:rPr>
          <w:rFonts w:eastAsia="Noto Sans CJK SC DemiLight" w:cs="FreeSans"/>
          <w:b w:val="false"/>
          <w:bCs w:val="false"/>
        </w:rPr>
        <w:t>Å</w:t>
      </w:r>
      <w:r>
        <w:rPr/>
        <w:t xml:space="preserve"> до </w:t>
      </w:r>
      <w:r>
        <w:rPr/>
        <w:t>20</w:t>
      </w:r>
      <w:r>
        <w:rPr/>
        <w:t> </w:t>
      </w:r>
      <w:r>
        <w:rPr>
          <w:rFonts w:eastAsia="Noto Sans CJK SC DemiLight" w:cs="FreeSans"/>
          <w:b w:val="false"/>
          <w:bCs w:val="false"/>
        </w:rPr>
        <w:t>Å</w:t>
      </w:r>
      <w:r>
        <w:rPr/>
        <w:t xml:space="preserve"> </w:t>
      </w:r>
      <w:r>
        <w:rPr/>
        <w:t xml:space="preserve">и </w:t>
      </w:r>
      <w:r>
        <w:rPr/>
        <w:t>с высоким разрешением 800 точек (</w:t>
      </w:r>
      <w:r>
        <w:rPr/>
        <w:t xml:space="preserve">шаг не более </w:t>
      </w:r>
      <w:r>
        <w:rPr/>
        <w:t>0.02 </w:t>
      </w:r>
      <w:r>
        <w:rPr>
          <w:rFonts w:eastAsia="Noto Sans CJK SC DemiLight" w:cs="FreeSans"/>
          <w:b w:val="false"/>
          <w:bCs w:val="false"/>
        </w:rPr>
        <w:t>Å</w:t>
      </w:r>
      <w:r>
        <w:rPr/>
        <w:t xml:space="preserve">). </w:t>
      </w:r>
      <w:r>
        <w:rPr/>
        <w:t>Такой большой диапазон необходим для полного разделения МО и их локализации на образующихся фрагментах молекулярной системы.</w:t>
      </w:r>
      <w:r>
        <w:rPr/>
        <w:t xml:space="preserve"> </w:t>
      </w:r>
      <w:r>
        <w:rPr/>
        <w:t xml:space="preserve">Высокое разрешение в процессе сканирования требуется для того, чтобы качественно отследить индивидуальные МО, особенно в случае вырождения по энергии, чем меньше шаг дистанции, тем меньше различия в энергиях и пространственном строении между соседними состояниями в процессе сканирования. </w:t>
      </w:r>
      <w:r>
        <w:rPr/>
        <w:t xml:space="preserve">Расчет производился с помощью программного комплекса ORCA 3.0.2 методом DFT B3LYP в базисе aug-cc-pVDZ в синглетном состоянии, </w:t>
      </w:r>
      <w:r>
        <w:rPr/>
        <w:t>с оптимизацией геометрии на каждом шаге сканирования</w:t>
      </w:r>
      <w:r>
        <w:rPr/>
        <w:t xml:space="preserve">. Выходные данные программного комплекса содержат оптимизированные структурные параметры, значения энергий и волновые функции всех молекулярных орбиталей (МО) в каждой точке исследуемого СППЭ. </w:t>
      </w:r>
    </w:p>
    <w:p>
      <w:pPr>
        <w:pStyle w:val="Normal"/>
        <w:widowControl/>
        <w:overflowPunct w:val="true"/>
        <w:bidi w:val="0"/>
        <w:ind w:left="0" w:right="0" w:firstLine="567"/>
        <w:jc w:val="both"/>
        <w:rPr/>
      </w:pPr>
      <w:r>
        <w:rPr/>
        <w:t xml:space="preserve">По полученным данным </w:t>
      </w:r>
      <w:r>
        <w:rPr/>
        <w:t>строятся</w:t>
      </w:r>
      <w:r>
        <w:rPr/>
        <w:t xml:space="preserve"> зависимости энергии всех МО </w:t>
      </w:r>
      <w:r>
        <w:rPr/>
        <w:t xml:space="preserve">от межядерной дистанции </w:t>
      </w:r>
      <w:r>
        <w:rPr/>
        <w:t xml:space="preserve">в процессе </w:t>
      </w:r>
      <w:r>
        <w:rPr/>
        <w:t>пространственного разделения частей системы</w:t>
      </w:r>
      <w:r>
        <w:rPr/>
        <w:t xml:space="preserve">, все эти кривые носят непрерывный характер и позволяют проследить энергию каждой МО в динамике при увеличении дистанции, вплоть до полного распада с образованием свободных частиц, при этом орбитали исходного </w:t>
      </w:r>
      <w:r>
        <w:rPr/>
        <w:t>системы</w:t>
      </w:r>
      <w:r>
        <w:rPr/>
        <w:t xml:space="preserve"> трансформируются в орбитали образующихся продуктов распада, </w:t>
      </w:r>
      <w:r>
        <w:rPr/>
        <w:t>с их локализацией на каком либо фрагменте</w:t>
      </w:r>
      <w:r>
        <w:rPr/>
        <w:t xml:space="preserve">. Количество орбиталей в исходной молекулярной системе в точности соответствует суммарному количеству орбиталей образующихся фрагментов. Такая процедура отслеживания (трассировки / tracing) МО позволяет выявить, какие орбитали </w:t>
      </w:r>
      <w:r>
        <w:rPr/>
        <w:t>фрагментов молекулярной системы</w:t>
      </w:r>
      <w:r>
        <w:rPr/>
        <w:t xml:space="preserve"> становятся молекулярными орбиталями </w:t>
      </w:r>
      <w:r>
        <w:rPr/>
        <w:t>сложной молекулярной системы</w:t>
      </w:r>
      <w:r>
        <w:rPr/>
        <w:t>.</w:t>
      </w:r>
    </w:p>
    <w:p>
      <w:pPr>
        <w:pStyle w:val="Normal"/>
        <w:widowControl/>
        <w:overflowPunct w:val="true"/>
        <w:bidi w:val="0"/>
        <w:ind w:left="0" w:right="0" w:firstLine="567"/>
        <w:jc w:val="both"/>
        <w:rPr/>
      </w:pPr>
      <w:r>
        <w:rPr/>
        <w:t xml:space="preserve">При трансформации (transformation) МО </w:t>
      </w:r>
      <w:r>
        <w:rPr/>
        <w:t>(ТМО)</w:t>
      </w:r>
      <w:r>
        <w:rPr/>
        <w:t xml:space="preserve"> меняют свою энергию и пространственное строение, однако в большинстве случаев сохраняют свою симметрию. Некоторую сложность для процедуры трассировки представляют точки пересечения графиков МО, где происходит вырождение этих МО по энергии (однако они сильно различаются по распределению электронной плотности), соответственно требуются критерии для выявления соответствия однотипных МО, для этого применяется математический прием экстраполирования энергетических кривых. Для дополнительного контроля в точках пересечения, применяется более надежный (но </w:t>
      </w:r>
      <w:r>
        <w:rPr/>
        <w:t>ресурсно-затратный</w:t>
      </w:r>
      <w:r>
        <w:rPr/>
        <w:t xml:space="preserve">) метод сравнения пространственного распределения электронной плотности (ЭП), (данные содержатся в Gaussia Cube File). При сравнении пространственного </w:t>
      </w:r>
      <w:r>
        <w:rPr/>
        <w:t>соответствия</w:t>
      </w:r>
      <w:r>
        <w:rPr/>
        <w:t xml:space="preserve"> рассчитывается среднеквадратичное отклонение  в  пространственном распределении электронной плотности между соседними точками СППЭ. </w:t>
      </w:r>
      <w:r>
        <w:rPr/>
        <w:t>На последнем шаге сканирования проводится сравнение пространственного строения образовавшихся МО с орбиталями образующихся фрагментов, которые рассчитываются индивидуально. Составляется таблица соответствия МО сложной частицы и МО каждого фрагмента, участвующего в образовании связи.</w:t>
      </w:r>
    </w:p>
    <w:p>
      <w:pPr>
        <w:pStyle w:val="Normal"/>
        <w:widowControl/>
        <w:overflowPunct w:val="true"/>
        <w:bidi w:val="0"/>
        <w:ind w:left="0" w:right="0" w:firstLine="567"/>
        <w:jc w:val="both"/>
        <w:rPr/>
      </w:pPr>
      <w:r>
        <w:rPr/>
        <w:t xml:space="preserve">Для выполнения процедуры трассировки и сравнения </w:t>
      </w:r>
      <w:r>
        <w:rPr/>
        <w:t>и визуализации</w:t>
      </w:r>
      <w:r>
        <w:rPr/>
        <w:t xml:space="preserve"> пространственного распределения ЭП было </w:t>
      </w:r>
      <w:r>
        <w:rPr/>
        <w:t>разработано</w:t>
      </w:r>
      <w:r>
        <w:rPr/>
        <w:t xml:space="preserve"> программное обеспечение исходные тексты которого находятся в приложении (</w:t>
      </w:r>
      <w:r>
        <w:rPr>
          <w:lang w:val="en-US" w:eastAsia="zh-CN" w:bidi="hi-IN"/>
        </w:rPr>
        <w:t>Supporting information</w:t>
      </w:r>
      <w:r>
        <w:rPr/>
        <w:t xml:space="preserve">). </w:t>
      </w:r>
      <w:r>
        <w:rPr/>
        <w:t>По результатам сканирования проводится визуализация индивидуальных МО на каждом шаге сканирования и генерируются видео файлы процесса трансформации каждой молекулярной орбитали, для визуального контроля процедуры трассировки МО.</w:t>
      </w:r>
    </w:p>
    <w:p>
      <w:pPr>
        <w:pStyle w:val="Normal"/>
        <w:widowControl/>
        <w:overflowPunct w:val="true"/>
        <w:bidi w:val="0"/>
        <w:ind w:left="0" w:right="0" w:firstLine="567"/>
        <w:jc w:val="both"/>
        <w:rPr/>
      </w:pPr>
      <w:r>
        <w:rPr/>
        <w:t xml:space="preserve">Процедура выявления соответствия МО исходной частицы и продуктов распада позволяет построить энергетическую диаграмму перехода МО и рассчитать вклад каждой орбитали и </w:t>
      </w:r>
      <w:r>
        <w:rPr/>
        <w:t xml:space="preserve">суммарный </w:t>
      </w:r>
      <w:r>
        <w:rPr/>
        <w:t>вклад каждо</w:t>
      </w:r>
      <w:r>
        <w:rPr/>
        <w:t>го</w:t>
      </w:r>
      <w:r>
        <w:rPr/>
        <w:t xml:space="preserve"> </w:t>
      </w:r>
      <w:r>
        <w:rPr/>
        <w:t>фрагмента</w:t>
      </w:r>
      <w:r>
        <w:rPr/>
        <w:t xml:space="preserve"> в образование </w:t>
      </w:r>
      <w:r>
        <w:rPr>
          <w:position w:val="0"/>
          <w:sz w:val="24"/>
          <w:vertAlign w:val="baseline"/>
        </w:rPr>
        <w:t>молекулярной системы</w:t>
      </w:r>
      <w:r>
        <w:rPr/>
        <w:t>.</w:t>
      </w:r>
    </w:p>
    <w:p>
      <w:pPr>
        <w:pStyle w:val="Normal"/>
        <w:widowControl/>
        <w:overflowPunct w:val="true"/>
        <w:bidi w:val="0"/>
        <w:spacing w:before="0" w:after="170"/>
        <w:ind w:left="0" w:right="0" w:firstLine="567"/>
        <w:jc w:val="both"/>
        <w:rPr>
          <w:b/>
          <w:b/>
          <w:bCs/>
          <w:sz w:val="28"/>
          <w:szCs w:val="28"/>
        </w:rPr>
      </w:pPr>
      <w:r>
        <w:rPr/>
      </w:r>
      <w:r>
        <w:br w:type="page"/>
      </w:r>
    </w:p>
    <w:p>
      <w:pPr>
        <w:pStyle w:val="Normal"/>
        <w:widowControl/>
        <w:overflowPunct w:val="true"/>
        <w:bidi w:val="0"/>
        <w:spacing w:before="0" w:after="170"/>
        <w:ind w:left="0" w:right="0" w:firstLine="567"/>
        <w:jc w:val="both"/>
        <w:rPr/>
      </w:pPr>
      <w:r>
        <w:rPr>
          <w:b/>
          <w:bCs/>
          <w:sz w:val="28"/>
          <w:szCs w:val="28"/>
        </w:rPr>
        <w:t>Результаты и обсуждение</w:t>
      </w:r>
    </w:p>
    <w:p>
      <w:pPr>
        <w:pStyle w:val="Normal"/>
        <w:widowControl/>
        <w:overflowPunct w:val="true"/>
        <w:bidi w:val="0"/>
        <w:ind w:left="0" w:right="0" w:firstLine="567"/>
        <w:jc w:val="left"/>
        <w:rPr/>
      </w:pPr>
      <w:r>
        <w:rPr>
          <w:b/>
          <w:bCs/>
        </w:rPr>
        <w:t>Р</w:t>
      </w:r>
      <w:r>
        <w:rPr>
          <w:b/>
          <w:bCs/>
        </w:rPr>
        <w:t>асчет энергетическ</w:t>
      </w:r>
      <w:r>
        <w:rPr>
          <w:b/>
          <w:bCs/>
        </w:rPr>
        <w:t xml:space="preserve">ой </w:t>
      </w:r>
      <w:r>
        <w:rPr>
          <w:b/>
          <w:bCs/>
        </w:rPr>
        <w:t>диаграмм</w:t>
      </w:r>
      <w:r>
        <w:rPr>
          <w:b/>
          <w:bCs/>
        </w:rPr>
        <w:t>ы NH</w:t>
      </w:r>
      <w:r>
        <w:rPr>
          <w:b/>
          <w:bCs/>
          <w:vertAlign w:val="subscript"/>
        </w:rPr>
        <w:t>2</w:t>
      </w:r>
      <w:r>
        <w:rPr>
          <w:b/>
          <w:bCs/>
        </w:rPr>
        <w:t>N</w:t>
      </w:r>
      <w:r>
        <w:rPr>
          <w:b/>
          <w:bCs/>
          <w:vertAlign w:val="subscript"/>
        </w:rPr>
        <w:t>2</w:t>
      </w:r>
      <w:r>
        <w:rPr>
          <w:b/>
          <w:bCs/>
          <w:vertAlign w:val="superscript"/>
        </w:rPr>
        <w:t>+</w:t>
      </w:r>
      <w:r>
        <w:rPr>
          <w:b/>
          <w:bCs/>
        </w:rPr>
        <w:t xml:space="preserve"> </w:t>
      </w:r>
      <w:r>
        <w:rPr>
          <w:b/>
          <w:bCs/>
        </w:rPr>
        <w:t>методом трассировки</w:t>
      </w:r>
      <w:r>
        <w:rPr>
          <w:b/>
          <w:bCs/>
        </w:rPr>
        <w:t xml:space="preserve"> молекулярных орбиталей </w:t>
      </w:r>
      <w:r>
        <w:rPr>
          <w:b/>
          <w:bCs/>
        </w:rPr>
        <w:t>(МТМО)</w:t>
      </w:r>
    </w:p>
    <w:p>
      <w:pPr>
        <w:pStyle w:val="Normal"/>
        <w:widowControl/>
        <w:overflowPunct w:val="true"/>
        <w:bidi w:val="0"/>
        <w:ind w:left="0" w:right="0" w:firstLine="567"/>
        <w:jc w:val="both"/>
        <w:rPr/>
      </w:pPr>
      <w:r>
        <w:rPr/>
        <w:t xml:space="preserve">Для более глубокого анализа механизма образования связи в частице </w:t>
      </w:r>
      <w:r>
        <w:rPr>
          <w:b w:val="false"/>
          <w:bCs w:val="false"/>
        </w:rPr>
        <w:t>NH</w:t>
      </w:r>
      <w:r>
        <w:rPr>
          <w:b w:val="false"/>
          <w:bCs w:val="false"/>
          <w:vertAlign w:val="subscript"/>
        </w:rPr>
        <w:t>2</w:t>
      </w:r>
      <w:r>
        <w:rPr>
          <w:b w:val="false"/>
          <w:bCs w:val="false"/>
        </w:rPr>
        <w:t>N</w:t>
      </w:r>
      <w:r>
        <w:rPr>
          <w:b w:val="false"/>
          <w:bCs w:val="false"/>
          <w:vertAlign w:val="subscript"/>
        </w:rPr>
        <w:t>2</w:t>
      </w:r>
      <w:r>
        <w:rPr>
          <w:b w:val="false"/>
          <w:bCs w:val="false"/>
          <w:vertAlign w:val="superscript"/>
        </w:rPr>
        <w:t>+</w:t>
      </w:r>
      <w:r>
        <w:rPr/>
        <w:t xml:space="preserve"> мы использовали </w:t>
      </w:r>
      <w:r>
        <w:rPr>
          <w:lang w:val="ru-RU" w:eastAsia="zh-CN" w:bidi="hi-IN"/>
        </w:rPr>
        <w:t xml:space="preserve">МТМО, </w:t>
      </w:r>
      <w:r>
        <w:rPr>
          <w:lang w:val="ru-RU" w:eastAsia="zh-CN" w:bidi="hi-IN"/>
        </w:rPr>
        <w:t>разработанный нами и ранее не использовавшийся</w:t>
      </w:r>
      <w:r>
        <w:rPr/>
        <w:t xml:space="preserve">. По результатам исследования процесса отщепления азота от исходного катиона был построен график зависимости энергии индивидуальных МО от </w:t>
      </w:r>
      <w:r>
        <w:rPr/>
        <w:t>межъядерной</w:t>
      </w:r>
      <w:r>
        <w:rPr/>
        <w:t xml:space="preserve"> дистанции NH</w:t>
      </w:r>
      <w:r>
        <w:rPr>
          <w:vertAlign w:val="subscript"/>
        </w:rPr>
        <w:t>2</w:t>
      </w:r>
      <w:r>
        <w:rPr/>
        <w:t>—N</w:t>
      </w:r>
      <w:r>
        <w:rPr>
          <w:vertAlign w:val="subscript"/>
        </w:rPr>
        <w:t>2</w:t>
      </w:r>
      <w:r>
        <w:rPr>
          <w:vertAlign w:val="superscript"/>
        </w:rPr>
        <w:t>+</w:t>
      </w:r>
      <w:r>
        <w:rPr/>
        <w:t xml:space="preserve">, фрагмент этой зависимости в области близкой к LUMO и HOMO орбиталям приведен на рисунке 1. Энергетическая диаграмма образования катиона </w:t>
      </w:r>
      <w:r>
        <w:rPr>
          <w:b w:val="false"/>
          <w:bCs w:val="false"/>
        </w:rPr>
        <w:t>NH</w:t>
      </w:r>
      <w:r>
        <w:rPr>
          <w:b w:val="false"/>
          <w:bCs w:val="false"/>
          <w:vertAlign w:val="subscript"/>
        </w:rPr>
        <w:t>2</w:t>
      </w:r>
      <w:r>
        <w:rPr>
          <w:b w:val="false"/>
          <w:bCs w:val="false"/>
        </w:rPr>
        <w:t>N</w:t>
      </w:r>
      <w:r>
        <w:rPr>
          <w:b w:val="false"/>
          <w:bCs w:val="false"/>
          <w:vertAlign w:val="subscript"/>
        </w:rPr>
        <w:t>2</w:t>
      </w:r>
      <w:r>
        <w:rPr>
          <w:b w:val="false"/>
          <w:bCs w:val="false"/>
          <w:vertAlign w:val="superscript"/>
        </w:rPr>
        <w:t xml:space="preserve">+ </w:t>
      </w:r>
      <w:r>
        <w:rPr/>
        <w:t>из исходных частиц NH</w:t>
      </w:r>
      <w:r>
        <w:rPr>
          <w:vertAlign w:val="subscript"/>
        </w:rPr>
        <w:t>2</w:t>
      </w:r>
      <w:r>
        <w:rPr>
          <w:vertAlign w:val="superscript"/>
        </w:rPr>
        <w:t>+</w:t>
      </w:r>
      <w:r>
        <w:rPr/>
        <w:t xml:space="preserve"> и N</w:t>
      </w:r>
      <w:r>
        <w:rPr>
          <w:vertAlign w:val="subscript"/>
        </w:rPr>
        <w:t>2</w:t>
      </w:r>
      <w:r>
        <w:rPr/>
        <w:t xml:space="preserve"> представлена на рисунке 2.</w:t>
      </w:r>
    </w:p>
    <w:p>
      <w:pPr>
        <w:pStyle w:val="Normal"/>
        <w:widowControl/>
        <w:overflowPunct w:val="true"/>
        <w:bidi w:val="0"/>
        <w:ind w:left="0" w:right="0" w:firstLine="567"/>
        <w:jc w:val="both"/>
        <w:rPr/>
      </w:pPr>
      <w:r>
        <w:rPr/>
      </w:r>
    </w:p>
    <w:p>
      <w:pPr>
        <w:pStyle w:val="Normal"/>
        <w:rPr/>
      </w:pPr>
      <w:r>
        <w:rPr/>
        <w:drawing>
          <wp:inline distT="0" distB="0" distL="0" distR="0">
            <wp:extent cx="6825615" cy="3484880"/>
            <wp:effectExtent l="0" t="0" r="0" b="0"/>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6825615" cy="3484880"/>
                    </a:xfrm>
                    <a:prstGeom prst="rect">
                      <a:avLst/>
                    </a:prstGeom>
                  </pic:spPr>
                </pic:pic>
              </a:graphicData>
            </a:graphic>
          </wp:inline>
        </w:drawing>
      </w:r>
    </w:p>
    <w:p>
      <w:pPr>
        <w:pStyle w:val="Normal"/>
        <w:jc w:val="center"/>
        <w:rPr/>
      </w:pPr>
      <w:r>
        <w:rPr>
          <w:sz w:val="26"/>
          <w:szCs w:val="26"/>
        </w:rPr>
        <w:t xml:space="preserve">Рис. 1. </w:t>
      </w:r>
      <w:r>
        <w:rPr>
          <w:sz w:val="26"/>
          <w:szCs w:val="26"/>
        </w:rPr>
        <w:t>Результаты т</w:t>
      </w:r>
      <w:r>
        <w:rPr>
          <w:sz w:val="26"/>
          <w:szCs w:val="26"/>
        </w:rPr>
        <w:t>рассировк</w:t>
      </w:r>
      <w:r>
        <w:rPr>
          <w:sz w:val="26"/>
          <w:szCs w:val="26"/>
        </w:rPr>
        <w:t>и</w:t>
      </w:r>
      <w:r>
        <w:rPr>
          <w:sz w:val="26"/>
          <w:szCs w:val="26"/>
        </w:rPr>
        <w:t xml:space="preserve"> молекулярных орбиталей NH</w:t>
      </w:r>
      <w:r>
        <w:rPr>
          <w:sz w:val="26"/>
          <w:szCs w:val="26"/>
          <w:vertAlign w:val="subscript"/>
        </w:rPr>
        <w:t>2</w:t>
      </w:r>
      <w:r>
        <w:rPr>
          <w:sz w:val="26"/>
          <w:szCs w:val="26"/>
        </w:rPr>
        <w:t>N</w:t>
      </w:r>
      <w:r>
        <w:rPr>
          <w:sz w:val="26"/>
          <w:szCs w:val="26"/>
          <w:vertAlign w:val="subscript"/>
        </w:rPr>
        <w:t>2</w:t>
      </w:r>
      <w:r>
        <w:rPr>
          <w:sz w:val="26"/>
          <w:szCs w:val="26"/>
          <w:vertAlign w:val="superscript"/>
        </w:rPr>
        <w:t>+</w:t>
      </w:r>
      <w:r>
        <w:rPr>
          <w:sz w:val="26"/>
          <w:szCs w:val="26"/>
        </w:rPr>
        <w:t xml:space="preserve">. </w:t>
      </w:r>
    </w:p>
    <w:p>
      <w:pPr>
        <w:pStyle w:val="Normal"/>
        <w:widowControl/>
        <w:overflowPunct w:val="true"/>
        <w:bidi w:val="0"/>
        <w:ind w:left="0" w:right="0" w:firstLine="567"/>
        <w:jc w:val="center"/>
        <w:rPr/>
      </w:pPr>
      <w:r>
        <w:rPr/>
        <w:drawing>
          <wp:inline distT="0" distB="0" distL="0" distR="0">
            <wp:extent cx="4287520" cy="4348480"/>
            <wp:effectExtent l="0" t="0" r="0" b="0"/>
            <wp:docPr id="2"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7" descr=""/>
                    <pic:cNvPicPr>
                      <a:picLocks noChangeAspect="1" noChangeArrowheads="1"/>
                    </pic:cNvPicPr>
                  </pic:nvPicPr>
                  <pic:blipFill>
                    <a:blip r:embed="rId3"/>
                    <a:stretch>
                      <a:fillRect/>
                    </a:stretch>
                  </pic:blipFill>
                  <pic:spPr bwMode="auto">
                    <a:xfrm>
                      <a:off x="0" y="0"/>
                      <a:ext cx="4287520" cy="4348480"/>
                    </a:xfrm>
                    <a:prstGeom prst="rect">
                      <a:avLst/>
                    </a:prstGeom>
                  </pic:spPr>
                </pic:pic>
              </a:graphicData>
            </a:graphic>
          </wp:inline>
        </w:drawing>
      </w:r>
    </w:p>
    <w:p>
      <w:pPr>
        <w:pStyle w:val="Normal"/>
        <w:widowControl/>
        <w:overflowPunct w:val="true"/>
        <w:bidi w:val="0"/>
        <w:ind w:left="0" w:right="0" w:firstLine="567"/>
        <w:jc w:val="center"/>
        <w:rPr/>
      </w:pPr>
      <w:r>
        <w:rPr>
          <w:b w:val="false"/>
          <w:bCs w:val="false"/>
          <w:i w:val="false"/>
          <w:iCs w:val="false"/>
          <w:sz w:val="26"/>
          <w:szCs w:val="26"/>
        </w:rPr>
        <w:t xml:space="preserve">Рис. 2. </w:t>
      </w:r>
      <w:r>
        <w:rPr>
          <w:b w:val="false"/>
          <w:bCs w:val="false"/>
          <w:i w:val="false"/>
          <w:iCs w:val="false"/>
          <w:sz w:val="26"/>
          <w:szCs w:val="26"/>
        </w:rPr>
        <w:t>Фрагмент э</w:t>
      </w:r>
      <w:r>
        <w:rPr>
          <w:b w:val="false"/>
          <w:bCs w:val="false"/>
          <w:i w:val="false"/>
          <w:iCs w:val="false"/>
          <w:sz w:val="26"/>
          <w:szCs w:val="26"/>
        </w:rPr>
        <w:t>нергетическ</w:t>
      </w:r>
      <w:r>
        <w:rPr>
          <w:b w:val="false"/>
          <w:bCs w:val="false"/>
          <w:i w:val="false"/>
          <w:iCs w:val="false"/>
          <w:sz w:val="26"/>
          <w:szCs w:val="26"/>
        </w:rPr>
        <w:t>ой</w:t>
      </w:r>
      <w:r>
        <w:rPr>
          <w:b w:val="false"/>
          <w:bCs w:val="false"/>
          <w:i w:val="false"/>
          <w:iCs w:val="false"/>
          <w:sz w:val="26"/>
          <w:szCs w:val="26"/>
        </w:rPr>
        <w:t xml:space="preserve"> диаграмм</w:t>
      </w:r>
      <w:r>
        <w:rPr>
          <w:b w:val="false"/>
          <w:bCs w:val="false"/>
          <w:i w:val="false"/>
          <w:iCs w:val="false"/>
          <w:sz w:val="26"/>
          <w:szCs w:val="26"/>
        </w:rPr>
        <w:t>ы</w:t>
      </w:r>
      <w:r>
        <w:rPr>
          <w:b w:val="false"/>
          <w:bCs w:val="false"/>
          <w:i w:val="false"/>
          <w:iCs w:val="false"/>
          <w:sz w:val="26"/>
          <w:szCs w:val="26"/>
        </w:rPr>
        <w:t xml:space="preserve"> молекулярных орбиталей при взаимодействии N</w:t>
      </w:r>
      <w:r>
        <w:rPr>
          <w:b w:val="false"/>
          <w:bCs w:val="false"/>
          <w:i w:val="false"/>
          <w:iCs w:val="false"/>
          <w:sz w:val="26"/>
          <w:szCs w:val="26"/>
          <w:vertAlign w:val="subscript"/>
        </w:rPr>
        <w:t>2</w:t>
      </w:r>
      <w:r>
        <w:rPr>
          <w:b w:val="false"/>
          <w:bCs w:val="false"/>
          <w:i w:val="false"/>
          <w:iCs w:val="false"/>
          <w:sz w:val="26"/>
          <w:szCs w:val="26"/>
        </w:rPr>
        <w:t xml:space="preserve"> и NH</w:t>
      </w:r>
      <w:r>
        <w:rPr>
          <w:b w:val="false"/>
          <w:bCs w:val="false"/>
          <w:i w:val="false"/>
          <w:iCs w:val="false"/>
          <w:sz w:val="26"/>
          <w:szCs w:val="26"/>
          <w:vertAlign w:val="subscript"/>
        </w:rPr>
        <w:t>2</w:t>
      </w:r>
      <w:r>
        <w:rPr>
          <w:b w:val="false"/>
          <w:bCs w:val="false"/>
          <w:i w:val="false"/>
          <w:iCs w:val="false"/>
          <w:sz w:val="26"/>
          <w:szCs w:val="26"/>
          <w:vertAlign w:val="superscript"/>
        </w:rPr>
        <w:t>+</w:t>
      </w:r>
      <w:r>
        <w:rPr>
          <w:b w:val="false"/>
          <w:bCs w:val="false"/>
          <w:i w:val="false"/>
          <w:iCs w:val="false"/>
          <w:sz w:val="26"/>
          <w:szCs w:val="26"/>
        </w:rPr>
        <w:t xml:space="preserve"> c образованием NH</w:t>
      </w:r>
      <w:r>
        <w:rPr>
          <w:b w:val="false"/>
          <w:bCs w:val="false"/>
          <w:i w:val="false"/>
          <w:iCs w:val="false"/>
          <w:sz w:val="26"/>
          <w:szCs w:val="26"/>
          <w:vertAlign w:val="subscript"/>
        </w:rPr>
        <w:t>2</w:t>
      </w:r>
      <w:r>
        <w:rPr>
          <w:b w:val="false"/>
          <w:bCs w:val="false"/>
          <w:i w:val="false"/>
          <w:iCs w:val="false"/>
          <w:sz w:val="26"/>
          <w:szCs w:val="26"/>
        </w:rPr>
        <w:t>N</w:t>
      </w:r>
      <w:r>
        <w:rPr>
          <w:b w:val="false"/>
          <w:bCs w:val="false"/>
          <w:i w:val="false"/>
          <w:iCs w:val="false"/>
          <w:sz w:val="26"/>
          <w:szCs w:val="26"/>
          <w:vertAlign w:val="subscript"/>
        </w:rPr>
        <w:t>2</w:t>
      </w:r>
      <w:r>
        <w:rPr>
          <w:b w:val="false"/>
          <w:bCs w:val="false"/>
          <w:i w:val="false"/>
          <w:iCs w:val="false"/>
          <w:sz w:val="26"/>
          <w:szCs w:val="26"/>
          <w:vertAlign w:val="superscript"/>
        </w:rPr>
        <w:t>+</w:t>
      </w:r>
      <w:r>
        <w:rPr>
          <w:b w:val="false"/>
          <w:bCs w:val="false"/>
          <w:i w:val="false"/>
          <w:iCs w:val="false"/>
          <w:sz w:val="26"/>
          <w:szCs w:val="26"/>
        </w:rPr>
        <w:t xml:space="preserve">. </w:t>
      </w:r>
    </w:p>
    <w:p>
      <w:pPr>
        <w:pStyle w:val="Normal"/>
        <w:widowControl/>
        <w:overflowPunct w:val="true"/>
        <w:bidi w:val="0"/>
        <w:ind w:left="0" w:right="0" w:firstLine="567"/>
        <w:jc w:val="right"/>
        <w:rPr>
          <w:b w:val="false"/>
          <w:b w:val="false"/>
          <w:bCs w:val="false"/>
          <w:i w:val="false"/>
          <w:i w:val="false"/>
          <w:iCs w:val="false"/>
        </w:rPr>
      </w:pPr>
      <w:r>
        <w:rPr/>
      </w:r>
    </w:p>
    <w:p>
      <w:pPr>
        <w:pStyle w:val="Normal"/>
        <w:widowControl/>
        <w:overflowPunct w:val="true"/>
        <w:bidi w:val="0"/>
        <w:ind w:left="0" w:right="0" w:firstLine="567"/>
        <w:jc w:val="both"/>
        <w:rPr/>
      </w:pPr>
      <w:r>
        <w:rPr>
          <w:b w:val="false"/>
          <w:bCs w:val="false"/>
          <w:i w:val="false"/>
          <w:iCs w:val="false"/>
        </w:rPr>
        <w:t xml:space="preserve">При сканировании энергии, с учетом пространственного подобия МО, </w:t>
      </w:r>
      <w:r>
        <w:rPr>
          <w:b w:val="false"/>
          <w:bCs w:val="false"/>
          <w:i w:val="false"/>
          <w:iCs w:val="false"/>
        </w:rPr>
        <w:t>выявлено,</w:t>
      </w:r>
      <w:r>
        <w:rPr>
          <w:b w:val="false"/>
          <w:bCs w:val="false"/>
          <w:i w:val="false"/>
          <w:iCs w:val="false"/>
        </w:rPr>
        <w:t xml:space="preserve"> что заполненные орбитали молекулярного азота трансформируются в орбитали №1, 3, 4, 6, 9, 10, 11 катиона NH</w:t>
      </w:r>
      <w:r>
        <w:rPr>
          <w:b w:val="false"/>
          <w:bCs w:val="false"/>
          <w:i w:val="false"/>
          <w:iCs w:val="false"/>
          <w:vertAlign w:val="subscript"/>
        </w:rPr>
        <w:t>2</w:t>
      </w:r>
      <w:r>
        <w:rPr>
          <w:b w:val="false"/>
          <w:bCs w:val="false"/>
          <w:i w:val="false"/>
          <w:iCs w:val="false"/>
        </w:rPr>
        <w:t>N</w:t>
      </w:r>
      <w:r>
        <w:rPr>
          <w:b w:val="false"/>
          <w:bCs w:val="false"/>
          <w:i w:val="false"/>
          <w:iCs w:val="false"/>
          <w:vertAlign w:val="subscript"/>
        </w:rPr>
        <w:t>2</w:t>
      </w:r>
      <w:r>
        <w:rPr>
          <w:b w:val="false"/>
          <w:bCs w:val="false"/>
          <w:i w:val="false"/>
          <w:iCs w:val="false"/>
          <w:vertAlign w:val="superscript"/>
        </w:rPr>
        <w:t>+</w:t>
      </w:r>
      <w:r>
        <w:rPr>
          <w:b w:val="false"/>
          <w:bCs w:val="false"/>
          <w:i w:val="false"/>
          <w:iCs w:val="false"/>
        </w:rPr>
        <w:t xml:space="preserve">, </w:t>
      </w:r>
      <w:r>
        <w:rPr>
          <w:b w:val="false"/>
          <w:bCs w:val="false"/>
          <w:i w:val="false"/>
          <w:iCs w:val="false"/>
        </w:rPr>
        <w:t>а молекулярные орбитали катиона NH</w:t>
      </w:r>
      <w:r>
        <w:rPr>
          <w:b w:val="false"/>
          <w:bCs w:val="false"/>
          <w:i w:val="false"/>
          <w:iCs w:val="false"/>
          <w:vertAlign w:val="subscript"/>
        </w:rPr>
        <w:t>2</w:t>
      </w:r>
      <w:r>
        <w:rPr>
          <w:b w:val="false"/>
          <w:bCs w:val="false"/>
          <w:i w:val="false"/>
          <w:iCs w:val="false"/>
          <w:vertAlign w:val="superscript"/>
        </w:rPr>
        <w:t>+</w:t>
      </w:r>
      <w:r>
        <w:rPr>
          <w:b w:val="false"/>
          <w:bCs w:val="false"/>
          <w:i w:val="false"/>
          <w:iCs w:val="false"/>
        </w:rPr>
        <w:t xml:space="preserve"> становятся молекулярными орбиталями №2, 5 7, 8. Оставшиеся </w:t>
      </w:r>
      <w:r>
        <w:rPr>
          <w:b w:val="false"/>
          <w:bCs w:val="false"/>
          <w:i w:val="false"/>
          <w:iCs w:val="false"/>
        </w:rPr>
        <w:t xml:space="preserve"> не занятые</w:t>
      </w:r>
      <w:r>
        <w:rPr>
          <w:b w:val="false"/>
          <w:bCs w:val="false"/>
          <w:i w:val="false"/>
          <w:iCs w:val="false"/>
        </w:rPr>
        <w:t xml:space="preserve"> молекулярные орбитали также представляют собой результат трансформации из МО продуктов расщепления, наиболее интересны ближайшие орбитали №12 (из МО N</w:t>
      </w:r>
      <w:r>
        <w:rPr>
          <w:b w:val="false"/>
          <w:bCs w:val="false"/>
          <w:i w:val="false"/>
          <w:iCs w:val="false"/>
          <w:vertAlign w:val="subscript"/>
        </w:rPr>
        <w:t>2</w:t>
      </w:r>
      <w:r>
        <w:rPr>
          <w:b w:val="false"/>
          <w:bCs w:val="false"/>
          <w:i w:val="false"/>
          <w:iCs w:val="false"/>
        </w:rPr>
        <w:t>) и №13, 14 (из МО NH</w:t>
      </w:r>
      <w:r>
        <w:rPr>
          <w:b w:val="false"/>
          <w:bCs w:val="false"/>
          <w:i w:val="false"/>
          <w:iCs w:val="false"/>
          <w:vertAlign w:val="subscript"/>
        </w:rPr>
        <w:t>2</w:t>
      </w:r>
      <w:r>
        <w:rPr>
          <w:b w:val="false"/>
          <w:bCs w:val="false"/>
          <w:i w:val="false"/>
          <w:iCs w:val="false"/>
          <w:vertAlign w:val="superscript"/>
        </w:rPr>
        <w:t>+</w:t>
      </w:r>
      <w:r>
        <w:rPr>
          <w:b w:val="false"/>
          <w:bCs w:val="false"/>
          <w:i w:val="false"/>
          <w:iCs w:val="false"/>
        </w:rPr>
        <w:t xml:space="preserve">) полный результат </w:t>
      </w:r>
      <w:r>
        <w:rPr>
          <w:b w:val="false"/>
          <w:bCs w:val="false"/>
          <w:i w:val="false"/>
          <w:iCs w:val="false"/>
        </w:rPr>
        <w:t>соответствия</w:t>
      </w:r>
      <w:r>
        <w:rPr>
          <w:b w:val="false"/>
          <w:bCs w:val="false"/>
          <w:i w:val="false"/>
          <w:iCs w:val="false"/>
        </w:rPr>
        <w:t xml:space="preserve"> приведен в приложении (</w:t>
      </w:r>
      <w:r>
        <w:rPr>
          <w:b w:val="false"/>
          <w:bCs w:val="false"/>
          <w:i w:val="false"/>
          <w:iCs w:val="false"/>
          <w:lang w:val="en-US"/>
        </w:rPr>
        <w:t>Supporting information</w:t>
      </w:r>
      <w:r>
        <w:rPr>
          <w:b w:val="false"/>
          <w:bCs w:val="false"/>
          <w:i w:val="false"/>
          <w:iCs w:val="false"/>
        </w:rPr>
        <w:t>). Занятая орбиталь №11 -  результат трансформации HOMO молекулярного азота. Свободная орбиталь №14 образуется при трансформации LUMO катиона NH</w:t>
      </w:r>
      <w:r>
        <w:rPr>
          <w:b w:val="false"/>
          <w:bCs w:val="false"/>
          <w:i w:val="false"/>
          <w:iCs w:val="false"/>
          <w:vertAlign w:val="subscript"/>
        </w:rPr>
        <w:t>2</w:t>
      </w:r>
      <w:r>
        <w:rPr>
          <w:b w:val="false"/>
          <w:bCs w:val="false"/>
          <w:i w:val="false"/>
          <w:iCs w:val="false"/>
          <w:vertAlign w:val="superscript"/>
        </w:rPr>
        <w:t>+</w:t>
      </w:r>
      <w:r>
        <w:rPr>
          <w:b w:val="false"/>
          <w:bCs w:val="false"/>
          <w:i w:val="false"/>
          <w:iCs w:val="false"/>
        </w:rPr>
        <w:t>. Особенностью образования катиона NH</w:t>
      </w:r>
      <w:r>
        <w:rPr>
          <w:b w:val="false"/>
          <w:bCs w:val="false"/>
          <w:i w:val="false"/>
          <w:iCs w:val="false"/>
          <w:vertAlign w:val="subscript"/>
        </w:rPr>
        <w:t>2</w:t>
      </w:r>
      <w:r>
        <w:rPr>
          <w:b w:val="false"/>
          <w:bCs w:val="false"/>
          <w:i w:val="false"/>
          <w:iCs w:val="false"/>
        </w:rPr>
        <w:t>N</w:t>
      </w:r>
      <w:r>
        <w:rPr>
          <w:b w:val="false"/>
          <w:bCs w:val="false"/>
          <w:i w:val="false"/>
          <w:iCs w:val="false"/>
          <w:vertAlign w:val="subscript"/>
        </w:rPr>
        <w:t>2</w:t>
      </w:r>
      <w:r>
        <w:rPr>
          <w:b w:val="false"/>
          <w:bCs w:val="false"/>
          <w:i w:val="false"/>
          <w:iCs w:val="false"/>
          <w:vertAlign w:val="superscript"/>
        </w:rPr>
        <w:t>+</w:t>
      </w:r>
      <w:r>
        <w:rPr>
          <w:b w:val="false"/>
          <w:bCs w:val="false"/>
          <w:i w:val="false"/>
          <w:iCs w:val="false"/>
        </w:rPr>
        <w:t xml:space="preserve"> является то что энергия HOMO азота (-0.438559</w:t>
      </w:r>
      <w:r>
        <w:rPr>
          <w:b w:val="false"/>
          <w:bCs w:val="false"/>
          <w:i w:val="false"/>
          <w:iCs w:val="false"/>
        </w:rPr>
        <w:t> Eh</w:t>
      </w:r>
      <w:r>
        <w:rPr>
          <w:b w:val="false"/>
          <w:bCs w:val="false"/>
          <w:i w:val="false"/>
          <w:iCs w:val="false"/>
        </w:rPr>
        <w:t xml:space="preserve">) </w:t>
      </w:r>
      <w:r>
        <w:rPr>
          <w:b w:val="false"/>
          <w:bCs w:val="false"/>
          <w:i w:val="false"/>
          <w:iCs w:val="false"/>
        </w:rPr>
        <w:t xml:space="preserve">выше чем энергия LUMO </w:t>
      </w:r>
      <w:r>
        <w:rPr>
          <w:b w:val="false"/>
          <w:bCs w:val="false"/>
          <w:i w:val="false"/>
          <w:iCs w:val="false"/>
        </w:rPr>
        <w:t>NH</w:t>
      </w:r>
      <w:r>
        <w:rPr>
          <w:b w:val="false"/>
          <w:bCs w:val="false"/>
          <w:i w:val="false"/>
          <w:iCs w:val="false"/>
          <w:vertAlign w:val="subscript"/>
        </w:rPr>
        <w:t>2</w:t>
      </w:r>
      <w:r>
        <w:rPr>
          <w:b w:val="false"/>
          <w:bCs w:val="false"/>
          <w:i w:val="false"/>
          <w:iCs w:val="false"/>
          <w:vertAlign w:val="superscript"/>
        </w:rPr>
        <w:t>+</w:t>
      </w:r>
      <w:r>
        <w:rPr>
          <w:b w:val="false"/>
          <w:bCs w:val="false"/>
          <w:i w:val="false"/>
          <w:iCs w:val="false"/>
        </w:rPr>
        <w:t xml:space="preserve"> (-0.610093 Eh), что обуславливает очень высокую энергетику взаимодействия этих орбиталей. Высокая энергия взаимодействия приводит к тому, что в процессе увеличения дистанции процесс разделения орбиталей происходит очень медленно, и осуществляется вплоть до дистанции 50 </w:t>
      </w:r>
      <w:r>
        <w:rPr>
          <w:b w:val="false"/>
          <w:bCs w:val="false"/>
          <w:i w:val="false"/>
          <w:iCs w:val="false"/>
          <w:sz w:val="24"/>
          <w:szCs w:val="24"/>
        </w:rPr>
        <w:t>Å, на меньших дистанциях наблюдается только тенденция к разделению, на рисунке 3, при дистанции d(NH</w:t>
      </w:r>
      <w:r>
        <w:rPr>
          <w:b w:val="false"/>
          <w:bCs w:val="false"/>
          <w:i w:val="false"/>
          <w:iCs w:val="false"/>
          <w:sz w:val="24"/>
          <w:szCs w:val="24"/>
          <w:vertAlign w:val="subscript"/>
        </w:rPr>
        <w:t>2</w:t>
      </w:r>
      <w:r>
        <w:rPr>
          <w:b w:val="false"/>
          <w:bCs w:val="false"/>
          <w:i w:val="false"/>
          <w:iCs w:val="false"/>
          <w:sz w:val="24"/>
          <w:szCs w:val="24"/>
          <w:vertAlign w:val="superscript"/>
        </w:rPr>
        <w:t>+</w:t>
      </w:r>
      <w:r>
        <w:rPr>
          <w:b w:val="false"/>
          <w:bCs w:val="false"/>
          <w:i w:val="false"/>
          <w:iCs w:val="false"/>
          <w:sz w:val="24"/>
          <w:szCs w:val="24"/>
        </w:rPr>
        <w:t>—N</w:t>
      </w:r>
      <w:r>
        <w:rPr>
          <w:b w:val="false"/>
          <w:bCs w:val="false"/>
          <w:i w:val="false"/>
          <w:iCs w:val="false"/>
          <w:sz w:val="24"/>
          <w:szCs w:val="24"/>
          <w:vertAlign w:val="subscript"/>
        </w:rPr>
        <w:t>2</w:t>
      </w:r>
      <w:r>
        <w:rPr>
          <w:b w:val="false"/>
          <w:bCs w:val="false"/>
          <w:i w:val="false"/>
          <w:iCs w:val="false"/>
          <w:sz w:val="24"/>
          <w:szCs w:val="24"/>
        </w:rPr>
        <w:t xml:space="preserve">)=11.91 становится заметно, что МО11 стремится к локализации на атоме азота и по пространственному распределению соответствует орбитали №7 (HOMO) азота, и напротив орбиталь №14 имеет тенденцию к трансформации в орбиталь №6 (LUMO) катиона </w:t>
      </w:r>
      <w:r>
        <w:rPr>
          <w:b w:val="false"/>
          <w:bCs w:val="false"/>
          <w:i w:val="false"/>
          <w:iCs w:val="false"/>
          <w:sz w:val="24"/>
          <w:szCs w:val="24"/>
        </w:rPr>
        <w:t>NH</w:t>
      </w:r>
      <w:r>
        <w:rPr>
          <w:b w:val="false"/>
          <w:bCs w:val="false"/>
          <w:i w:val="false"/>
          <w:iCs w:val="false"/>
          <w:sz w:val="24"/>
          <w:szCs w:val="24"/>
          <w:vertAlign w:val="subscript"/>
        </w:rPr>
        <w:t>2</w:t>
      </w:r>
      <w:r>
        <w:rPr>
          <w:b w:val="false"/>
          <w:bCs w:val="false"/>
          <w:i w:val="false"/>
          <w:iCs w:val="false"/>
          <w:sz w:val="24"/>
          <w:szCs w:val="24"/>
          <w:vertAlign w:val="superscript"/>
        </w:rPr>
        <w:t>+</w:t>
      </w:r>
      <w:r>
        <w:rPr>
          <w:b w:val="false"/>
          <w:bCs w:val="false"/>
          <w:i w:val="false"/>
          <w:iCs w:val="false"/>
          <w:sz w:val="24"/>
          <w:szCs w:val="24"/>
        </w:rPr>
        <w:t xml:space="preserve">. Все остальные орбитали локализуются на фрагментах </w:t>
      </w:r>
      <w:r>
        <w:rPr>
          <w:b w:val="false"/>
          <w:bCs w:val="false"/>
          <w:i w:val="false"/>
          <w:iCs w:val="false"/>
          <w:sz w:val="24"/>
          <w:szCs w:val="24"/>
        </w:rPr>
        <w:t>N</w:t>
      </w:r>
      <w:r>
        <w:rPr>
          <w:b w:val="false"/>
          <w:bCs w:val="false"/>
          <w:i w:val="false"/>
          <w:iCs w:val="false"/>
          <w:sz w:val="24"/>
          <w:szCs w:val="24"/>
          <w:vertAlign w:val="subscript"/>
        </w:rPr>
        <w:t>2</w:t>
      </w:r>
      <w:r>
        <w:rPr>
          <w:b w:val="false"/>
          <w:bCs w:val="false"/>
          <w:i w:val="false"/>
          <w:iCs w:val="false"/>
          <w:sz w:val="24"/>
          <w:szCs w:val="24"/>
        </w:rPr>
        <w:t xml:space="preserve">, </w:t>
      </w:r>
      <w:r>
        <w:rPr>
          <w:b w:val="false"/>
          <w:bCs w:val="false"/>
          <w:i w:val="false"/>
          <w:iCs w:val="false"/>
          <w:sz w:val="24"/>
          <w:szCs w:val="24"/>
        </w:rPr>
        <w:t>NH</w:t>
      </w:r>
      <w:r>
        <w:rPr>
          <w:b w:val="false"/>
          <w:bCs w:val="false"/>
          <w:i w:val="false"/>
          <w:iCs w:val="false"/>
          <w:sz w:val="24"/>
          <w:szCs w:val="24"/>
          <w:vertAlign w:val="subscript"/>
        </w:rPr>
        <w:t>2</w:t>
      </w:r>
      <w:r>
        <w:rPr>
          <w:b w:val="false"/>
          <w:bCs w:val="false"/>
          <w:i w:val="false"/>
          <w:iCs w:val="false"/>
          <w:sz w:val="24"/>
          <w:szCs w:val="24"/>
          <w:vertAlign w:val="superscript"/>
        </w:rPr>
        <w:t>+</w:t>
      </w:r>
      <w:r>
        <w:rPr>
          <w:b w:val="false"/>
          <w:bCs w:val="false"/>
          <w:i w:val="false"/>
          <w:iCs w:val="false"/>
          <w:sz w:val="24"/>
          <w:szCs w:val="24"/>
        </w:rPr>
        <w:t xml:space="preserve"> уже при дистанциях менее 6 Å. Для визуального контроля, были получены видеофайлы транформации всех МО, которые приведены </w:t>
      </w:r>
      <w:r>
        <w:rPr>
          <w:b w:val="false"/>
          <w:bCs w:val="false"/>
          <w:i w:val="false"/>
          <w:iCs w:val="false"/>
          <w:sz w:val="24"/>
          <w:szCs w:val="24"/>
        </w:rPr>
        <w:t>в приложении (</w:t>
      </w:r>
      <w:r>
        <w:rPr>
          <w:b w:val="false"/>
          <w:bCs w:val="false"/>
          <w:i w:val="false"/>
          <w:iCs w:val="false"/>
          <w:sz w:val="24"/>
          <w:szCs w:val="24"/>
          <w:lang w:val="en-US"/>
        </w:rPr>
        <w:t>Supporting information</w:t>
      </w:r>
      <w:r>
        <w:rPr>
          <w:b w:val="false"/>
          <w:bCs w:val="false"/>
          <w:i w:val="false"/>
          <w:iCs w:val="false"/>
          <w:sz w:val="24"/>
          <w:szCs w:val="24"/>
        </w:rPr>
        <w:t xml:space="preserve">) </w:t>
      </w:r>
      <w:r>
        <w:rPr>
          <w:b w:val="false"/>
          <w:bCs w:val="false"/>
          <w:i w:val="false"/>
          <w:iCs w:val="false"/>
          <w:sz w:val="24"/>
          <w:szCs w:val="24"/>
        </w:rPr>
        <w:t>и доступны на сайте [</w:t>
      </w:r>
      <w:hyperlink r:id="rId4">
        <w:r>
          <w:rPr>
            <w:rStyle w:val="Style14"/>
            <w:b w:val="false"/>
            <w:bCs w:val="false"/>
            <w:i w:val="false"/>
            <w:iCs w:val="false"/>
            <w:sz w:val="24"/>
            <w:szCs w:val="24"/>
          </w:rPr>
          <w:t>https://newrou.github.io/diazo-stn/MO/NH2-N2+/MO/index.html</w:t>
        </w:r>
      </w:hyperlink>
      <w:r>
        <w:rPr>
          <w:b w:val="false"/>
          <w:bCs w:val="false"/>
          <w:i w:val="false"/>
          <w:iCs w:val="false"/>
          <w:sz w:val="24"/>
          <w:szCs w:val="24"/>
        </w:rPr>
        <w:t>]</w:t>
      </w:r>
    </w:p>
    <w:p>
      <w:pPr>
        <w:pStyle w:val="Normal"/>
        <w:widowControl/>
        <w:overflowPunct w:val="true"/>
        <w:bidi w:val="0"/>
        <w:ind w:left="0" w:right="0" w:firstLine="567"/>
        <w:jc w:val="both"/>
        <w:rPr>
          <w:sz w:val="24"/>
          <w:szCs w:val="24"/>
        </w:rPr>
      </w:pPr>
      <w:r>
        <w:rPr>
          <w:b w:val="false"/>
          <w:bCs w:val="false"/>
          <w:i w:val="false"/>
          <w:iCs w:val="false"/>
          <w:sz w:val="24"/>
          <w:szCs w:val="24"/>
        </w:rPr>
        <w:t xml:space="preserve">При анализе учитывалась возможность возможность </w:t>
      </w:r>
      <w:r>
        <w:rPr>
          <w:b w:val="false"/>
          <w:bCs w:val="false"/>
          <w:i w:val="false"/>
          <w:iCs w:val="false"/>
          <w:sz w:val="24"/>
          <w:szCs w:val="24"/>
        </w:rPr>
        <w:t>иного</w:t>
      </w:r>
      <w:r>
        <w:rPr>
          <w:b w:val="false"/>
          <w:bCs w:val="false"/>
          <w:i w:val="false"/>
          <w:iCs w:val="false"/>
          <w:sz w:val="24"/>
          <w:szCs w:val="24"/>
        </w:rPr>
        <w:t xml:space="preserve"> распределения заряда между фрагметами катиона NH</w:t>
      </w:r>
      <w:r>
        <w:rPr>
          <w:b w:val="false"/>
          <w:bCs w:val="false"/>
          <w:i w:val="false"/>
          <w:iCs w:val="false"/>
          <w:sz w:val="24"/>
          <w:szCs w:val="24"/>
          <w:vertAlign w:val="subscript"/>
        </w:rPr>
        <w:t>2</w:t>
      </w:r>
      <w:r>
        <w:rPr>
          <w:b w:val="false"/>
          <w:bCs w:val="false"/>
          <w:i w:val="false"/>
          <w:iCs w:val="false"/>
          <w:sz w:val="24"/>
          <w:szCs w:val="24"/>
        </w:rPr>
        <w:t>N</w:t>
      </w:r>
      <w:r>
        <w:rPr>
          <w:b w:val="false"/>
          <w:bCs w:val="false"/>
          <w:i w:val="false"/>
          <w:iCs w:val="false"/>
          <w:sz w:val="24"/>
          <w:szCs w:val="24"/>
          <w:vertAlign w:val="subscript"/>
        </w:rPr>
        <w:t>2</w:t>
      </w:r>
      <w:r>
        <w:rPr>
          <w:b w:val="false"/>
          <w:bCs w:val="false"/>
          <w:i w:val="false"/>
          <w:iCs w:val="false"/>
          <w:sz w:val="24"/>
          <w:szCs w:val="24"/>
          <w:vertAlign w:val="superscript"/>
        </w:rPr>
        <w:t>+</w:t>
      </w:r>
      <w:r>
        <w:rPr>
          <w:b w:val="false"/>
          <w:bCs w:val="false"/>
          <w:i w:val="false"/>
          <w:iCs w:val="false"/>
          <w:sz w:val="24"/>
          <w:szCs w:val="24"/>
        </w:rPr>
        <w:t>, с образованием частиц N</w:t>
      </w:r>
      <w:r>
        <w:rPr>
          <w:b w:val="false"/>
          <w:bCs w:val="false"/>
          <w:i w:val="false"/>
          <w:iCs w:val="false"/>
          <w:sz w:val="24"/>
          <w:szCs w:val="24"/>
          <w:vertAlign w:val="subscript"/>
        </w:rPr>
        <w:t>2</w:t>
      </w:r>
      <w:r>
        <w:rPr>
          <w:b w:val="false"/>
          <w:bCs w:val="false"/>
          <w:i w:val="false"/>
          <w:iCs w:val="false"/>
          <w:sz w:val="24"/>
          <w:szCs w:val="24"/>
          <w:vertAlign w:val="superscript"/>
        </w:rPr>
        <w:t xml:space="preserve">+  </w:t>
      </w:r>
      <w:r>
        <w:rPr>
          <w:b w:val="false"/>
          <w:bCs w:val="false"/>
          <w:i w:val="false"/>
          <w:iCs w:val="false"/>
          <w:sz w:val="24"/>
          <w:szCs w:val="24"/>
        </w:rPr>
        <w:t>и NH</w:t>
      </w:r>
      <w:r>
        <w:rPr>
          <w:b w:val="false"/>
          <w:bCs w:val="false"/>
          <w:i w:val="false"/>
          <w:iCs w:val="false"/>
          <w:sz w:val="24"/>
          <w:szCs w:val="24"/>
          <w:vertAlign w:val="subscript"/>
        </w:rPr>
        <w:t>2</w:t>
      </w:r>
      <w:r>
        <w:rPr>
          <w:b w:val="false"/>
          <w:bCs w:val="false"/>
          <w:i w:val="false"/>
          <w:iCs w:val="false"/>
          <w:sz w:val="24"/>
          <w:szCs w:val="24"/>
        </w:rPr>
        <w:t>. Однако анализ структурных параметров (таблица №1) показывает, что при высоких дистанциях система стремися к состоянию близкому свободным частицам NH</w:t>
      </w:r>
      <w:r>
        <w:rPr>
          <w:b w:val="false"/>
          <w:bCs w:val="false"/>
          <w:i w:val="false"/>
          <w:iCs w:val="false"/>
          <w:sz w:val="24"/>
          <w:szCs w:val="24"/>
          <w:vertAlign w:val="subscript"/>
        </w:rPr>
        <w:t>2</w:t>
      </w:r>
      <w:r>
        <w:rPr>
          <w:b w:val="false"/>
          <w:bCs w:val="false"/>
          <w:i w:val="false"/>
          <w:iCs w:val="false"/>
          <w:sz w:val="24"/>
          <w:szCs w:val="24"/>
          <w:vertAlign w:val="superscript"/>
        </w:rPr>
        <w:t>+</w:t>
      </w:r>
      <w:r>
        <w:rPr>
          <w:b w:val="false"/>
          <w:bCs w:val="false"/>
          <w:i w:val="false"/>
          <w:iCs w:val="false"/>
          <w:sz w:val="24"/>
          <w:szCs w:val="24"/>
        </w:rPr>
        <w:t xml:space="preserve"> и N</w:t>
      </w:r>
      <w:r>
        <w:rPr>
          <w:b w:val="false"/>
          <w:bCs w:val="false"/>
          <w:i w:val="false"/>
          <w:iCs w:val="false"/>
          <w:sz w:val="24"/>
          <w:szCs w:val="24"/>
          <w:vertAlign w:val="subscript"/>
        </w:rPr>
        <w:t>2</w:t>
      </w:r>
      <w:r>
        <w:rPr>
          <w:b w:val="false"/>
          <w:bCs w:val="false"/>
          <w:i w:val="false"/>
          <w:iCs w:val="false"/>
          <w:sz w:val="24"/>
          <w:szCs w:val="24"/>
        </w:rPr>
        <w:t xml:space="preserve">. Энергетический анализ также </w:t>
      </w:r>
      <w:r>
        <w:rPr>
          <w:b w:val="false"/>
          <w:bCs w:val="false"/>
          <w:i w:val="false"/>
          <w:iCs w:val="false"/>
          <w:sz w:val="24"/>
          <w:szCs w:val="24"/>
        </w:rPr>
        <w:t>подтверждает</w:t>
      </w:r>
      <w:r>
        <w:rPr>
          <w:b w:val="false"/>
          <w:bCs w:val="false"/>
          <w:i w:val="false"/>
          <w:iCs w:val="false"/>
          <w:sz w:val="24"/>
          <w:szCs w:val="24"/>
        </w:rPr>
        <w:t>, что образование N</w:t>
      </w:r>
      <w:r>
        <w:rPr>
          <w:b w:val="false"/>
          <w:bCs w:val="false"/>
          <w:i w:val="false"/>
          <w:iCs w:val="false"/>
          <w:sz w:val="24"/>
          <w:szCs w:val="24"/>
          <w:vertAlign w:val="subscript"/>
        </w:rPr>
        <w:t>2</w:t>
      </w:r>
      <w:r>
        <w:rPr>
          <w:b w:val="false"/>
          <w:bCs w:val="false"/>
          <w:i w:val="false"/>
          <w:iCs w:val="false"/>
          <w:sz w:val="24"/>
          <w:szCs w:val="24"/>
          <w:vertAlign w:val="superscript"/>
        </w:rPr>
        <w:t xml:space="preserve">+  </w:t>
      </w:r>
      <w:r>
        <w:rPr>
          <w:b w:val="false"/>
          <w:bCs w:val="false"/>
          <w:i w:val="false"/>
          <w:iCs w:val="false"/>
          <w:sz w:val="24"/>
          <w:szCs w:val="24"/>
        </w:rPr>
        <w:t>и NH</w:t>
      </w:r>
      <w:r>
        <w:rPr>
          <w:b w:val="false"/>
          <w:bCs w:val="false"/>
          <w:i w:val="false"/>
          <w:iCs w:val="false"/>
          <w:sz w:val="24"/>
          <w:szCs w:val="24"/>
          <w:vertAlign w:val="subscript"/>
        </w:rPr>
        <w:t>2</w:t>
      </w:r>
      <w:r>
        <w:rPr>
          <w:b w:val="false"/>
          <w:bCs w:val="false"/>
          <w:i w:val="false"/>
          <w:iCs w:val="false"/>
          <w:sz w:val="24"/>
          <w:szCs w:val="24"/>
        </w:rPr>
        <w:t>, значительно менее выгодно (</w:t>
      </w:r>
      <w:r>
        <w:rPr>
          <w:rFonts w:ascii="Standard Symbols L" w:hAnsi="Standard Symbols L"/>
          <w:b w:val="false"/>
          <w:bCs w:val="false"/>
          <w:i w:val="false"/>
          <w:iCs w:val="false"/>
          <w:sz w:val="24"/>
          <w:szCs w:val="24"/>
        </w:rPr>
        <w:t>D</w:t>
      </w:r>
      <w:r>
        <w:rPr>
          <w:b w:val="false"/>
          <w:bCs w:val="false"/>
          <w:i w:val="false"/>
          <w:iCs w:val="false"/>
          <w:sz w:val="24"/>
          <w:szCs w:val="24"/>
        </w:rPr>
        <w:t>G</w:t>
      </w:r>
      <w:r>
        <w:rPr>
          <w:b w:val="false"/>
          <w:bCs w:val="false"/>
          <w:i w:val="false"/>
          <w:iCs w:val="false"/>
          <w:sz w:val="24"/>
          <w:szCs w:val="24"/>
          <w:vertAlign w:val="superscript"/>
        </w:rPr>
        <w:t>298</w:t>
      </w:r>
      <w:r>
        <w:rPr>
          <w:b w:val="false"/>
          <w:bCs w:val="false"/>
          <w:i w:val="false"/>
          <w:iCs w:val="false"/>
          <w:position w:val="0"/>
          <w:sz w:val="24"/>
          <w:sz w:val="24"/>
          <w:szCs w:val="24"/>
          <w:vertAlign w:val="baseline"/>
        </w:rPr>
        <w:t>=603.9 kJ/mol</w:t>
      </w:r>
      <w:r>
        <w:rPr>
          <w:b w:val="false"/>
          <w:bCs w:val="false"/>
          <w:i w:val="false"/>
          <w:iCs w:val="false"/>
          <w:sz w:val="24"/>
          <w:szCs w:val="24"/>
        </w:rPr>
        <w:t>), чем по пути распада до молекулярного азота (</w:t>
      </w:r>
      <w:r>
        <w:rPr>
          <w:rFonts w:ascii="Standard Symbols L" w:hAnsi="Standard Symbols L"/>
          <w:b w:val="false"/>
          <w:bCs w:val="false"/>
          <w:i w:val="false"/>
          <w:iCs w:val="false"/>
          <w:sz w:val="24"/>
          <w:szCs w:val="24"/>
        </w:rPr>
        <w:t>D</w:t>
      </w:r>
      <w:r>
        <w:rPr>
          <w:b w:val="false"/>
          <w:bCs w:val="false"/>
          <w:i w:val="false"/>
          <w:iCs w:val="false"/>
          <w:sz w:val="24"/>
          <w:szCs w:val="24"/>
        </w:rPr>
        <w:t>G</w:t>
      </w:r>
      <w:r>
        <w:rPr>
          <w:b w:val="false"/>
          <w:bCs w:val="false"/>
          <w:i w:val="false"/>
          <w:iCs w:val="false"/>
          <w:sz w:val="24"/>
          <w:szCs w:val="24"/>
          <w:vertAlign w:val="superscript"/>
        </w:rPr>
        <w:t>298</w:t>
      </w:r>
      <w:r>
        <w:rPr>
          <w:b w:val="false"/>
          <w:bCs w:val="false"/>
          <w:i w:val="false"/>
          <w:iCs w:val="false"/>
          <w:position w:val="0"/>
          <w:sz w:val="24"/>
          <w:sz w:val="24"/>
          <w:szCs w:val="24"/>
          <w:vertAlign w:val="baseline"/>
        </w:rPr>
        <w:t>=310.5 kJ/mol</w:t>
      </w:r>
      <w:r>
        <w:rPr>
          <w:b w:val="false"/>
          <w:bCs w:val="false"/>
          <w:i w:val="false"/>
          <w:iCs w:val="false"/>
          <w:sz w:val="24"/>
          <w:szCs w:val="24"/>
        </w:rPr>
        <w:t>).</w:t>
      </w:r>
    </w:p>
    <w:p>
      <w:pPr>
        <w:pStyle w:val="Normal"/>
        <w:widowControl/>
        <w:overflowPunct w:val="true"/>
        <w:bidi w:val="0"/>
        <w:ind w:left="0" w:right="0" w:firstLine="567"/>
        <w:jc w:val="both"/>
        <w:rPr/>
      </w:pPr>
      <w:r>
        <w:rPr/>
      </w:r>
    </w:p>
    <w:tbl>
      <w:tblPr>
        <w:tblW w:w="10772" w:type="dxa"/>
        <w:jc w:val="left"/>
        <w:tblInd w:w="55" w:type="dxa"/>
        <w:tblBorders/>
        <w:tblCellMar>
          <w:top w:w="55" w:type="dxa"/>
          <w:left w:w="55" w:type="dxa"/>
          <w:bottom w:w="55" w:type="dxa"/>
          <w:right w:w="55" w:type="dxa"/>
        </w:tblCellMar>
      </w:tblPr>
      <w:tblGrid>
        <w:gridCol w:w="5386"/>
        <w:gridCol w:w="5385"/>
      </w:tblGrid>
      <w:tr>
        <w:trPr>
          <w:cantSplit w:val="true"/>
        </w:trPr>
        <w:tc>
          <w:tcPr>
            <w:tcW w:w="5386" w:type="dxa"/>
            <w:tcBorders/>
            <w:shd w:fill="auto" w:val="clear"/>
          </w:tcPr>
          <w:p>
            <w:pPr>
              <w:pStyle w:val="Style21"/>
              <w:jc w:val="center"/>
              <w:rPr/>
            </w:pPr>
            <w:r>
              <w:rPr>
                <w:rFonts w:ascii="FreeSans" w:hAnsi="FreeSans"/>
                <w:b/>
                <w:bCs/>
                <w:sz w:val="20"/>
                <w:szCs w:val="20"/>
              </w:rPr>
              <w:t>MO11;  d=1.3806;  E=-165.101446;  E(MO)=-0.610969</w:t>
            </w:r>
          </w:p>
          <w:p>
            <w:pPr>
              <w:pStyle w:val="Style21"/>
              <w:jc w:val="center"/>
              <w:rPr/>
            </w:pPr>
            <w:r>
              <w:rPr/>
              <w:drawing>
                <wp:inline distT="0" distB="0" distL="0" distR="0">
                  <wp:extent cx="2512695" cy="1768475"/>
                  <wp:effectExtent l="0" t="0" r="0" b="0"/>
                  <wp:docPr id="3"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4" descr=""/>
                          <pic:cNvPicPr>
                            <a:picLocks noChangeAspect="1" noChangeArrowheads="1"/>
                          </pic:cNvPicPr>
                        </pic:nvPicPr>
                        <pic:blipFill>
                          <a:blip r:embed="rId5"/>
                          <a:stretch>
                            <a:fillRect/>
                          </a:stretch>
                        </pic:blipFill>
                        <pic:spPr bwMode="auto">
                          <a:xfrm>
                            <a:off x="0" y="0"/>
                            <a:ext cx="2512695" cy="1768475"/>
                          </a:xfrm>
                          <a:prstGeom prst="rect">
                            <a:avLst/>
                          </a:prstGeom>
                        </pic:spPr>
                      </pic:pic>
                    </a:graphicData>
                  </a:graphic>
                </wp:inline>
              </w:drawing>
            </w:r>
          </w:p>
        </w:tc>
        <w:tc>
          <w:tcPr>
            <w:tcW w:w="5385" w:type="dxa"/>
            <w:tcBorders/>
            <w:shd w:fill="auto" w:val="clear"/>
          </w:tcPr>
          <w:p>
            <w:pPr>
              <w:pStyle w:val="Style21"/>
              <w:jc w:val="center"/>
              <w:rPr/>
            </w:pPr>
            <w:r>
              <w:rPr>
                <w:rFonts w:ascii="FreeSans" w:hAnsi="FreeSans"/>
                <w:b/>
                <w:bCs/>
                <w:sz w:val="20"/>
                <w:szCs w:val="20"/>
              </w:rPr>
              <w:t>MO14;  d=1.3806;  E=-165.101446;  E(MO)=-0.321141</w:t>
            </w:r>
          </w:p>
          <w:p>
            <w:pPr>
              <w:pStyle w:val="Style21"/>
              <w:jc w:val="center"/>
              <w:rPr/>
            </w:pPr>
            <w:r>
              <w:rPr/>
              <w:drawing>
                <wp:inline distT="0" distB="0" distL="0" distR="0">
                  <wp:extent cx="2529205" cy="1795145"/>
                  <wp:effectExtent l="0" t="0" r="0" b="0"/>
                  <wp:docPr id="4"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8" descr=""/>
                          <pic:cNvPicPr>
                            <a:picLocks noChangeAspect="1" noChangeArrowheads="1"/>
                          </pic:cNvPicPr>
                        </pic:nvPicPr>
                        <pic:blipFill>
                          <a:blip r:embed="rId6"/>
                          <a:stretch>
                            <a:fillRect/>
                          </a:stretch>
                        </pic:blipFill>
                        <pic:spPr bwMode="auto">
                          <a:xfrm>
                            <a:off x="0" y="0"/>
                            <a:ext cx="2529205" cy="1795145"/>
                          </a:xfrm>
                          <a:prstGeom prst="rect">
                            <a:avLst/>
                          </a:prstGeom>
                        </pic:spPr>
                      </pic:pic>
                    </a:graphicData>
                  </a:graphic>
                </wp:inline>
              </w:drawing>
            </w:r>
          </w:p>
        </w:tc>
      </w:tr>
      <w:tr>
        <w:trPr>
          <w:cantSplit w:val="true"/>
        </w:trPr>
        <w:tc>
          <w:tcPr>
            <w:tcW w:w="5386" w:type="dxa"/>
            <w:tcBorders/>
            <w:shd w:fill="auto" w:val="clear"/>
          </w:tcPr>
          <w:p>
            <w:pPr>
              <w:pStyle w:val="Style21"/>
              <w:jc w:val="center"/>
              <w:rPr>
                <w:rFonts w:ascii="FreeSans" w:hAnsi="FreeSans"/>
                <w:b/>
                <w:b/>
                <w:bCs/>
                <w:sz w:val="20"/>
                <w:szCs w:val="20"/>
              </w:rPr>
            </w:pPr>
            <w:r>
              <w:rPr/>
            </w:r>
          </w:p>
        </w:tc>
        <w:tc>
          <w:tcPr>
            <w:tcW w:w="5385" w:type="dxa"/>
            <w:tcBorders/>
            <w:shd w:fill="auto" w:val="clear"/>
          </w:tcPr>
          <w:p>
            <w:pPr>
              <w:pStyle w:val="Style21"/>
              <w:jc w:val="center"/>
              <w:rPr>
                <w:rFonts w:ascii="FreeSans" w:hAnsi="FreeSans"/>
                <w:b/>
                <w:b/>
                <w:bCs/>
                <w:sz w:val="20"/>
                <w:szCs w:val="20"/>
              </w:rPr>
            </w:pPr>
            <w:r>
              <w:rPr/>
            </w:r>
          </w:p>
        </w:tc>
      </w:tr>
      <w:tr>
        <w:trPr>
          <w:cantSplit w:val="true"/>
        </w:trPr>
        <w:tc>
          <w:tcPr>
            <w:tcW w:w="5386" w:type="dxa"/>
            <w:tcBorders/>
            <w:shd w:fill="auto" w:val="clear"/>
          </w:tcPr>
          <w:p>
            <w:pPr>
              <w:pStyle w:val="Style21"/>
              <w:jc w:val="center"/>
              <w:rPr/>
            </w:pPr>
            <w:r>
              <w:rPr>
                <w:rFonts w:ascii="FreeSans" w:hAnsi="FreeSans"/>
                <w:b/>
                <w:bCs/>
                <w:sz w:val="20"/>
                <w:szCs w:val="20"/>
              </w:rPr>
              <w:t>MO11;  d=11.9138;  E=-164.979265;  E(MO)=-0.546031</w:t>
            </w:r>
          </w:p>
          <w:p>
            <w:pPr>
              <w:pStyle w:val="Style21"/>
              <w:jc w:val="center"/>
              <w:rPr/>
            </w:pPr>
            <w:r>
              <w:rPr/>
              <w:drawing>
                <wp:inline distT="0" distB="0" distL="0" distR="0">
                  <wp:extent cx="2999740" cy="687705"/>
                  <wp:effectExtent l="0" t="0" r="0" b="0"/>
                  <wp:docPr id="5"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9" descr=""/>
                          <pic:cNvPicPr>
                            <a:picLocks noChangeAspect="1" noChangeArrowheads="1"/>
                          </pic:cNvPicPr>
                        </pic:nvPicPr>
                        <pic:blipFill>
                          <a:blip r:embed="rId7"/>
                          <a:stretch>
                            <a:fillRect/>
                          </a:stretch>
                        </pic:blipFill>
                        <pic:spPr bwMode="auto">
                          <a:xfrm>
                            <a:off x="0" y="0"/>
                            <a:ext cx="2999740" cy="687705"/>
                          </a:xfrm>
                          <a:prstGeom prst="rect">
                            <a:avLst/>
                          </a:prstGeom>
                        </pic:spPr>
                      </pic:pic>
                    </a:graphicData>
                  </a:graphic>
                </wp:inline>
              </w:drawing>
            </w:r>
          </w:p>
        </w:tc>
        <w:tc>
          <w:tcPr>
            <w:tcW w:w="5385" w:type="dxa"/>
            <w:tcBorders/>
            <w:shd w:fill="auto" w:val="clear"/>
          </w:tcPr>
          <w:p>
            <w:pPr>
              <w:pStyle w:val="Style21"/>
              <w:jc w:val="center"/>
              <w:rPr/>
            </w:pPr>
            <w:r>
              <w:rPr>
                <w:rFonts w:ascii="FreeSans" w:hAnsi="FreeSans"/>
                <w:b/>
                <w:bCs/>
                <w:sz w:val="20"/>
                <w:szCs w:val="20"/>
              </w:rPr>
              <w:t>MO14;  d=11.9138;  E=-164.979265;  E(MO)=-0.537542</w:t>
            </w:r>
          </w:p>
          <w:p>
            <w:pPr>
              <w:pStyle w:val="Style21"/>
              <w:jc w:val="center"/>
              <w:rPr/>
            </w:pPr>
            <w:r>
              <w:rPr/>
              <w:drawing>
                <wp:inline distT="0" distB="0" distL="0" distR="0">
                  <wp:extent cx="2989580" cy="747395"/>
                  <wp:effectExtent l="0" t="0" r="0" b="0"/>
                  <wp:docPr id="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0" descr=""/>
                          <pic:cNvPicPr>
                            <a:picLocks noChangeAspect="1" noChangeArrowheads="1"/>
                          </pic:cNvPicPr>
                        </pic:nvPicPr>
                        <pic:blipFill>
                          <a:blip r:embed="rId8"/>
                          <a:stretch>
                            <a:fillRect/>
                          </a:stretch>
                        </pic:blipFill>
                        <pic:spPr bwMode="auto">
                          <a:xfrm>
                            <a:off x="0" y="0"/>
                            <a:ext cx="2989580" cy="747395"/>
                          </a:xfrm>
                          <a:prstGeom prst="rect">
                            <a:avLst/>
                          </a:prstGeom>
                        </pic:spPr>
                      </pic:pic>
                    </a:graphicData>
                  </a:graphic>
                </wp:inline>
              </w:drawing>
            </w:r>
          </w:p>
        </w:tc>
      </w:tr>
    </w:tbl>
    <w:p>
      <w:pPr>
        <w:pStyle w:val="Normal"/>
        <w:jc w:val="center"/>
        <w:rPr>
          <w:sz w:val="16"/>
          <w:szCs w:val="16"/>
        </w:rPr>
      </w:pPr>
      <w:r>
        <w:rPr>
          <w:sz w:val="16"/>
          <w:szCs w:val="16"/>
        </w:rPr>
      </w:r>
    </w:p>
    <w:p>
      <w:pPr>
        <w:pStyle w:val="Normal"/>
        <w:widowControl/>
        <w:overflowPunct w:val="true"/>
        <w:bidi w:val="0"/>
        <w:ind w:left="0" w:right="0" w:firstLine="567"/>
        <w:jc w:val="center"/>
        <w:rPr/>
      </w:pPr>
      <w:r>
        <w:rPr>
          <w:sz w:val="26"/>
          <w:szCs w:val="26"/>
        </w:rPr>
        <w:t>Рис. 3. Особый случай, трансформация МО11 и МО14 NH</w:t>
      </w:r>
      <w:r>
        <w:rPr>
          <w:sz w:val="26"/>
          <w:szCs w:val="26"/>
          <w:vertAlign w:val="subscript"/>
        </w:rPr>
        <w:t>2</w:t>
      </w:r>
      <w:r>
        <w:rPr>
          <w:sz w:val="26"/>
          <w:szCs w:val="26"/>
        </w:rPr>
        <w:t>N</w:t>
      </w:r>
      <w:r>
        <w:rPr>
          <w:sz w:val="26"/>
          <w:szCs w:val="26"/>
          <w:vertAlign w:val="subscript"/>
        </w:rPr>
        <w:t>2</w:t>
      </w:r>
      <w:r>
        <w:rPr>
          <w:sz w:val="26"/>
          <w:szCs w:val="26"/>
          <w:vertAlign w:val="superscript"/>
        </w:rPr>
        <w:t>+</w:t>
      </w:r>
      <w:r>
        <w:rPr>
          <w:position w:val="0"/>
          <w:sz w:val="26"/>
          <w:sz w:val="26"/>
          <w:szCs w:val="26"/>
          <w:vertAlign w:val="baseline"/>
        </w:rPr>
        <w:t>,</w:t>
      </w:r>
      <w:r>
        <w:rPr>
          <w:sz w:val="26"/>
          <w:szCs w:val="26"/>
        </w:rPr>
        <w:t xml:space="preserve"> в молекулярные орбитали N</w:t>
      </w:r>
      <w:r>
        <w:rPr>
          <w:sz w:val="26"/>
          <w:szCs w:val="26"/>
          <w:vertAlign w:val="subscript"/>
        </w:rPr>
        <w:t>2</w:t>
      </w:r>
      <w:r>
        <w:rPr>
          <w:sz w:val="26"/>
          <w:szCs w:val="26"/>
        </w:rPr>
        <w:t xml:space="preserve"> и NH</w:t>
      </w:r>
      <w:r>
        <w:rPr>
          <w:sz w:val="26"/>
          <w:szCs w:val="26"/>
          <w:vertAlign w:val="subscript"/>
        </w:rPr>
        <w:t>2</w:t>
      </w:r>
      <w:r>
        <w:rPr>
          <w:sz w:val="26"/>
          <w:szCs w:val="26"/>
          <w:vertAlign w:val="superscript"/>
        </w:rPr>
        <w:t>+</w:t>
      </w:r>
      <w:r>
        <w:rPr>
          <w:sz w:val="26"/>
          <w:szCs w:val="26"/>
        </w:rPr>
        <w:t xml:space="preserve"> соответственно, с очень медленным разделением, вплоть до d(NH</w:t>
      </w:r>
      <w:r>
        <w:rPr>
          <w:sz w:val="26"/>
          <w:szCs w:val="26"/>
          <w:vertAlign w:val="subscript"/>
        </w:rPr>
        <w:t>2</w:t>
      </w:r>
      <w:r>
        <w:rPr>
          <w:sz w:val="26"/>
          <w:szCs w:val="26"/>
          <w:vertAlign w:val="superscript"/>
        </w:rPr>
        <w:t>+</w:t>
      </w:r>
      <w:r>
        <w:rPr>
          <w:sz w:val="26"/>
          <w:szCs w:val="26"/>
        </w:rPr>
        <w:t>—N</w:t>
      </w:r>
      <w:r>
        <w:rPr>
          <w:sz w:val="26"/>
          <w:szCs w:val="26"/>
          <w:vertAlign w:val="subscript"/>
        </w:rPr>
        <w:t>2</w:t>
      </w:r>
      <w:r>
        <w:rPr>
          <w:sz w:val="26"/>
          <w:szCs w:val="26"/>
        </w:rPr>
        <w:t>)&gt;50Å</w:t>
      </w:r>
    </w:p>
    <w:p>
      <w:pPr>
        <w:pStyle w:val="Normal"/>
        <w:jc w:val="right"/>
        <w:rPr/>
      </w:pPr>
      <w:r>
        <w:rPr/>
      </w:r>
    </w:p>
    <w:p>
      <w:pPr>
        <w:pStyle w:val="Normal"/>
        <w:jc w:val="right"/>
        <w:rPr/>
      </w:pPr>
      <w:r>
        <w:rPr/>
        <w:t xml:space="preserve">Таблица </w:t>
      </w:r>
      <w:r>
        <w:rPr/>
        <w:t>1</w:t>
      </w:r>
      <w:r>
        <w:rPr/>
        <w:t>.</w:t>
      </w:r>
    </w:p>
    <w:p>
      <w:pPr>
        <w:pStyle w:val="Normal"/>
        <w:jc w:val="center"/>
        <w:rPr/>
      </w:pPr>
      <w:r>
        <w:rPr/>
        <w:t>Структурные параметры частиц в системе [NH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p>
      <w:pPr>
        <w:pStyle w:val="Normal"/>
        <w:jc w:val="center"/>
        <w:rPr>
          <w:vertAlign w:val="superscript"/>
        </w:rPr>
      </w:pPr>
      <w:r>
        <w:rPr>
          <w:sz w:val="12"/>
          <w:szCs w:val="12"/>
        </w:rPr>
      </w:r>
    </w:p>
    <w:tbl>
      <w:tblPr>
        <w:tblW w:w="10772"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1795"/>
        <w:gridCol w:w="1796"/>
        <w:gridCol w:w="1790"/>
        <w:gridCol w:w="1798"/>
        <w:gridCol w:w="1797"/>
        <w:gridCol w:w="1795"/>
      </w:tblGrid>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b/>
                <w:bCs/>
              </w:rPr>
              <w:t>Compound</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b/>
                <w:bCs/>
              </w:rPr>
              <w:t>d(NH</w:t>
            </w:r>
            <w:r>
              <w:rPr>
                <w:b/>
                <w:bCs/>
                <w:vertAlign w:val="subscript"/>
              </w:rPr>
              <w:t>2</w:t>
            </w:r>
            <w:r>
              <w:rPr>
                <w:b/>
                <w:bCs/>
              </w:rPr>
              <w:t>—N</w:t>
            </w:r>
            <w:r>
              <w:rPr>
                <w:b/>
                <w:bCs/>
                <w:vertAlign w:val="subscript"/>
              </w:rPr>
              <w:t>2</w:t>
            </w:r>
            <w:r>
              <w:rPr>
                <w:b/>
                <w:bCs/>
              </w:rPr>
              <w:t xml:space="preserve">), </w:t>
            </w:r>
            <w:r>
              <w:rPr>
                <w:rFonts w:eastAsia="Noto Sans CJK SC DemiLight" w:cs="FreeSans"/>
                <w:b/>
                <w:bCs/>
              </w:rPr>
              <w:t>Å</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b/>
                <w:bCs/>
              </w:rPr>
              <w:t xml:space="preserve">d(N-N), </w:t>
            </w:r>
            <w:r>
              <w:rPr>
                <w:rFonts w:eastAsia="Noto Sans CJK SC DemiLight" w:cs="FreeSans"/>
                <w:b/>
                <w:bCs/>
              </w:rPr>
              <w:t>Å</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b/>
                <w:bCs/>
              </w:rPr>
              <w:t xml:space="preserve">d(N-H), </w:t>
            </w:r>
            <w:r>
              <w:rPr>
                <w:rFonts w:eastAsia="Noto Sans CJK SC DemiLight" w:cs="FreeSans"/>
                <w:b/>
                <w:bCs/>
              </w:rPr>
              <w:t>Å</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rFonts w:eastAsia="Noto Sans CJK SC DemiLight" w:cs="FreeSans" w:ascii="Standard Symbols L" w:hAnsi="Standard Symbols L"/>
                <w:b/>
                <w:bCs/>
                <w:sz w:val="20"/>
                <w:szCs w:val="20"/>
              </w:rPr>
              <w:t>Ð</w:t>
            </w:r>
            <w:r>
              <w:rPr>
                <w:b/>
                <w:bCs/>
              </w:rPr>
              <w:t>(H-N-H)</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1"/>
              <w:jc w:val="center"/>
              <w:rPr/>
            </w:pPr>
            <w:r>
              <w:rPr>
                <w:rFonts w:eastAsia="Noto Sans CJK SC DemiLight" w:cs="FreeSans" w:ascii="Standard Symbols L" w:hAnsi="Standard Symbols L"/>
                <w:b/>
                <w:bCs/>
                <w:sz w:val="20"/>
                <w:szCs w:val="20"/>
              </w:rPr>
              <w:t>Ð</w:t>
            </w:r>
            <w:r>
              <w:rPr>
                <w:b/>
                <w:bCs/>
              </w:rPr>
              <w:t>(N-N-N)</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N</w:t>
            </w:r>
            <w:r>
              <w:rPr>
                <w:vertAlign w:val="subscript"/>
              </w:rPr>
              <w:t>2</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1.104</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NH</w:t>
            </w:r>
            <w:r>
              <w:rPr>
                <w:vertAlign w:val="subscript"/>
              </w:rPr>
              <w:t>2</w:t>
            </w:r>
            <w:r>
              <w:rPr>
                <w:vertAlign w:val="superscript"/>
              </w:rPr>
              <w:t>+</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1.062</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107.0</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N</w:t>
            </w:r>
            <w:r>
              <w:rPr>
                <w:vertAlign w:val="subscript"/>
              </w:rPr>
              <w:t>2</w:t>
            </w:r>
            <w:r>
              <w:rPr>
                <w:vertAlign w:val="superscript"/>
              </w:rPr>
              <w:t>+</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1.117</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NH</w:t>
            </w:r>
            <w:r>
              <w:rPr>
                <w:vertAlign w:val="subscript"/>
              </w:rPr>
              <w:t>2</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1.034</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102.9</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NH</w:t>
            </w:r>
            <w:r>
              <w:rPr>
                <w:vertAlign w:val="subscript"/>
              </w:rPr>
              <w:t>2</w:t>
            </w:r>
            <w:r>
              <w:rPr/>
              <w:t>N</w:t>
            </w:r>
            <w:r>
              <w:rPr>
                <w:vertAlign w:val="subscript"/>
              </w:rPr>
              <w:t>2</w:t>
            </w:r>
            <w:r>
              <w:rPr>
                <w:vertAlign w:val="superscript"/>
              </w:rPr>
              <w:t>+</w:t>
            </w:r>
            <w:r>
              <w:rPr/>
              <w:t xml:space="preserve"> (optim)</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1.288</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1.116</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1.024</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121.1</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1"/>
              <w:jc w:val="center"/>
              <w:rPr/>
            </w:pPr>
            <w:r>
              <w:rPr/>
              <w:t>175.7</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16.9</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1.106</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1.051</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105.9</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1"/>
              <w:jc w:val="center"/>
              <w:rPr/>
            </w:pPr>
            <w:r>
              <w:rPr/>
              <w:t>-</w:t>
            </w:r>
          </w:p>
        </w:tc>
      </w:tr>
      <w:tr>
        <w:trPr/>
        <w:tc>
          <w:tcPr>
            <w:tcW w:w="1795"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tc>
        <w:tc>
          <w:tcPr>
            <w:tcW w:w="1796"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50.9</w:t>
            </w:r>
          </w:p>
        </w:tc>
        <w:tc>
          <w:tcPr>
            <w:tcW w:w="1790"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1.106</w:t>
            </w:r>
          </w:p>
        </w:tc>
        <w:tc>
          <w:tcPr>
            <w:tcW w:w="1798"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1.051</w:t>
            </w:r>
          </w:p>
        </w:tc>
        <w:tc>
          <w:tcPr>
            <w:tcW w:w="1797" w:type="dxa"/>
            <w:tcBorders>
              <w:top w:val="single" w:sz="2" w:space="0" w:color="000001"/>
              <w:left w:val="single" w:sz="2" w:space="0" w:color="000001"/>
              <w:bottom w:val="single" w:sz="2" w:space="0" w:color="000001"/>
              <w:insideH w:val="single" w:sz="2" w:space="0" w:color="000001"/>
            </w:tcBorders>
            <w:shd w:fill="auto" w:val="clear"/>
            <w:tcMar>
              <w:left w:w="39" w:type="dxa"/>
            </w:tcMar>
          </w:tcPr>
          <w:p>
            <w:pPr>
              <w:pStyle w:val="Style21"/>
              <w:jc w:val="center"/>
              <w:rPr/>
            </w:pPr>
            <w:r>
              <w:rPr/>
              <w:t>105.9</w:t>
            </w:r>
          </w:p>
        </w:tc>
        <w:tc>
          <w:tcPr>
            <w:tcW w:w="17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9" w:type="dxa"/>
            </w:tcMar>
          </w:tcPr>
          <w:p>
            <w:pPr>
              <w:pStyle w:val="Style21"/>
              <w:jc w:val="center"/>
              <w:rPr/>
            </w:pPr>
            <w:r>
              <w:rPr/>
              <w:t>-</w:t>
            </w:r>
          </w:p>
        </w:tc>
      </w:tr>
    </w:tbl>
    <w:p>
      <w:pPr>
        <w:pStyle w:val="Normal"/>
        <w:widowControl/>
        <w:overflowPunct w:val="true"/>
        <w:bidi w:val="0"/>
        <w:ind w:left="0" w:right="0" w:firstLine="567"/>
        <w:jc w:val="center"/>
        <w:rPr>
          <w:sz w:val="26"/>
          <w:szCs w:val="26"/>
        </w:rPr>
      </w:pPr>
      <w:r>
        <w:rPr/>
      </w:r>
    </w:p>
    <w:p>
      <w:pPr>
        <w:pStyle w:val="Normal"/>
        <w:widowControl/>
        <w:overflowPunct w:val="true"/>
        <w:bidi w:val="0"/>
        <w:ind w:left="0" w:right="0" w:firstLine="567"/>
        <w:jc w:val="both"/>
        <w:rPr>
          <w:sz w:val="24"/>
          <w:szCs w:val="24"/>
        </w:rPr>
      </w:pPr>
      <w:r>
        <w:rPr>
          <w:sz w:val="24"/>
          <w:szCs w:val="24"/>
        </w:rPr>
        <w:t>Идентификация перехода МО катиона NH</w:t>
      </w:r>
      <w:r>
        <w:rPr>
          <w:sz w:val="24"/>
          <w:szCs w:val="24"/>
          <w:vertAlign w:val="subscript"/>
        </w:rPr>
        <w:t>2</w:t>
      </w:r>
      <w:r>
        <w:rPr>
          <w:sz w:val="24"/>
          <w:szCs w:val="24"/>
        </w:rPr>
        <w:t>N</w:t>
      </w:r>
      <w:r>
        <w:rPr>
          <w:sz w:val="24"/>
          <w:szCs w:val="24"/>
          <w:vertAlign w:val="subscript"/>
        </w:rPr>
        <w:t>2</w:t>
      </w:r>
      <w:r>
        <w:rPr>
          <w:sz w:val="24"/>
          <w:szCs w:val="24"/>
          <w:vertAlign w:val="superscript"/>
        </w:rPr>
        <w:t>+</w:t>
      </w:r>
      <w:r>
        <w:rPr>
          <w:sz w:val="24"/>
          <w:szCs w:val="24"/>
        </w:rPr>
        <w:t xml:space="preserve"> в МО исходных частиц позволяет рассчитать изменения энергии каждой орбитали при образовании совместной молекулярной системы. Результаты такого расчета приведены в таблице №2. </w:t>
      </w:r>
      <w:r>
        <w:rPr>
          <w:sz w:val="24"/>
          <w:szCs w:val="24"/>
        </w:rPr>
        <w:t>По результатам энергетического расчета основной вклад в уменьшение суммарной энергии всех занятых орбиталей вносят МО, образующиеся в результате трансформации орбиталей азота, они все значительно уменьшают свою энергию (102.5% от изменения общей энергии МО). Напротив, орбитали образующиеся при трансформации МО катиона изменяют свою энергию незначительно и разнонаправленно, в сумме незначительно увеличивая энергию (-2.5%). Интересным и требующим дальнейшего анализа является факт, что все орбитали азота уменьшают свою энергию, в сопоставимой степени, включая очень глубокие по энергии. Вероятно, по результатам расчета, основной причиной взаимодействия частиц с уменьшением энергии и образования связи является возможность дополнительной делокализации электронов молекулы N</w:t>
      </w:r>
      <w:r>
        <w:rPr>
          <w:sz w:val="24"/>
          <w:szCs w:val="24"/>
          <w:vertAlign w:val="subscript"/>
        </w:rPr>
        <w:t>2</w:t>
      </w:r>
      <w:r>
        <w:rPr>
          <w:sz w:val="24"/>
          <w:szCs w:val="24"/>
        </w:rPr>
        <w:t xml:space="preserve"> на ядрах атомов азота и водорода катиона </w:t>
      </w:r>
      <w:r>
        <w:rPr>
          <w:sz w:val="24"/>
          <w:szCs w:val="24"/>
        </w:rPr>
        <w:t>NH</w:t>
      </w:r>
      <w:r>
        <w:rPr>
          <w:sz w:val="24"/>
          <w:szCs w:val="24"/>
          <w:vertAlign w:val="subscript"/>
        </w:rPr>
        <w:t>2</w:t>
      </w:r>
      <w:r>
        <w:rPr>
          <w:sz w:val="24"/>
          <w:szCs w:val="24"/>
          <w:vertAlign w:val="superscript"/>
        </w:rPr>
        <w:t>+</w:t>
      </w:r>
      <w:r>
        <w:rPr>
          <w:sz w:val="24"/>
          <w:szCs w:val="24"/>
        </w:rPr>
        <w:t xml:space="preserve">. </w:t>
      </w:r>
    </w:p>
    <w:p>
      <w:pPr>
        <w:pStyle w:val="Normal"/>
        <w:widowControl/>
        <w:overflowPunct w:val="true"/>
        <w:bidi w:val="0"/>
        <w:ind w:left="0" w:right="0" w:firstLine="567"/>
        <w:jc w:val="center"/>
        <w:rPr/>
      </w:pPr>
      <w:r>
        <w:rPr/>
      </w:r>
    </w:p>
    <w:p>
      <w:pPr>
        <w:pStyle w:val="Normal"/>
        <w:widowControl/>
        <w:overflowPunct w:val="true"/>
        <w:bidi w:val="0"/>
        <w:ind w:left="0" w:right="0" w:firstLine="567"/>
        <w:jc w:val="center"/>
        <w:rPr/>
      </w:pPr>
      <w:r>
        <w:rPr/>
      </w:r>
      <w:r>
        <w:br w:type="page"/>
      </w:r>
    </w:p>
    <w:p>
      <w:pPr>
        <w:pStyle w:val="Normal"/>
        <w:widowControl/>
        <w:overflowPunct w:val="true"/>
        <w:bidi w:val="0"/>
        <w:ind w:left="0" w:right="0" w:firstLine="567"/>
        <w:jc w:val="center"/>
        <w:rPr/>
      </w:pPr>
      <w:r>
        <w:rPr/>
      </w:r>
    </w:p>
    <w:p>
      <w:pPr>
        <w:pStyle w:val="Normal"/>
        <w:widowControl/>
        <w:overflowPunct w:val="true"/>
        <w:bidi w:val="0"/>
        <w:ind w:left="0" w:right="0" w:firstLine="567"/>
        <w:jc w:val="center"/>
        <w:rPr/>
      </w:pPr>
      <w:r>
        <w:rPr/>
      </w:r>
    </w:p>
    <w:p>
      <w:pPr>
        <w:pStyle w:val="Normal"/>
        <w:jc w:val="right"/>
        <w:rPr/>
      </w:pPr>
      <w:r>
        <w:rPr/>
        <w:t xml:space="preserve">Таблица </w:t>
      </w:r>
      <w:r>
        <w:rPr/>
        <w:t>2</w:t>
      </w:r>
      <w:r>
        <w:rPr/>
        <w:t>.</w:t>
      </w:r>
    </w:p>
    <w:p>
      <w:pPr>
        <w:pStyle w:val="Normal"/>
        <w:jc w:val="center"/>
        <w:rPr/>
      </w:pPr>
      <w:r>
        <w:rPr/>
        <w:t>Энергетический эффект т</w:t>
      </w:r>
      <w:r>
        <w:rPr/>
        <w:t>рансформаци</w:t>
      </w:r>
      <w:r>
        <w:rPr/>
        <w:t>и</w:t>
      </w:r>
      <w:r>
        <w:rPr/>
        <w:t xml:space="preserve"> молекулярных орбиталей в системе [NH</w:t>
      </w:r>
      <w:r>
        <w:rPr>
          <w:vertAlign w:val="subscript"/>
        </w:rPr>
        <w:t>2</w:t>
      </w:r>
      <w:r>
        <w:rPr>
          <w:position w:val="0"/>
          <w:sz w:val="24"/>
          <w:sz w:val="24"/>
          <w:vertAlign w:val="baseline"/>
        </w:rPr>
        <w:t xml:space="preserve"> </w:t>
      </w:r>
      <w:r>
        <w:rPr/>
        <w:t>+ N</w:t>
      </w:r>
      <w:r>
        <w:rPr>
          <w:vertAlign w:val="subscript"/>
        </w:rPr>
        <w:t>2</w:t>
      </w:r>
      <w:r>
        <w:rPr/>
        <w:t>]</w:t>
      </w:r>
      <w:r>
        <w:rPr>
          <w:vertAlign w:val="superscript"/>
        </w:rPr>
        <w:t>+</w:t>
      </w:r>
    </w:p>
    <w:p>
      <w:pPr>
        <w:pStyle w:val="Normal"/>
        <w:jc w:val="center"/>
        <w:rPr>
          <w:vertAlign w:val="superscript"/>
        </w:rPr>
      </w:pPr>
      <w:r>
        <w:rPr>
          <w:sz w:val="12"/>
          <w:szCs w:val="12"/>
        </w:rPr>
      </w:r>
    </w:p>
    <w:tbl>
      <w:tblPr>
        <w:tblW w:w="10772" w:type="dxa"/>
        <w:jc w:val="left"/>
        <w:tblInd w:w="4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Pr>
      <w:tblGrid>
        <w:gridCol w:w="959"/>
        <w:gridCol w:w="1246"/>
        <w:gridCol w:w="1305"/>
        <w:gridCol w:w="1710"/>
        <w:gridCol w:w="1470"/>
        <w:gridCol w:w="1410"/>
        <w:gridCol w:w="1365"/>
        <w:gridCol w:w="1305"/>
      </w:tblGrid>
      <w:tr>
        <w:trPr/>
        <w:tc>
          <w:tcPr>
            <w:tcW w:w="1077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b/>
                <w:sz w:val="22"/>
                <w:szCs w:val="22"/>
              </w:rPr>
              <w:t>Occupied molecular orbitals</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sz w:val="22"/>
                <w:szCs w:val="22"/>
              </w:rPr>
              <w:t xml:space="preserve">№ </w:t>
            </w:r>
            <w:r>
              <w:rPr>
                <w:b/>
                <w:sz w:val="22"/>
                <w:szCs w:val="22"/>
              </w:rPr>
              <w:t>MO</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b/>
                <w:sz w:val="22"/>
                <w:szCs w:val="22"/>
              </w:rPr>
              <w:t>E</w:t>
            </w:r>
            <w:r>
              <w:rPr>
                <w:b/>
                <w:sz w:val="22"/>
                <w:szCs w:val="22"/>
                <w:vertAlign w:val="subscript"/>
              </w:rPr>
              <w:t xml:space="preserve">MO </w:t>
            </w:r>
            <w:r>
              <w:rPr>
                <w:b/>
                <w:sz w:val="22"/>
                <w:szCs w:val="22"/>
              </w:rPr>
              <w:t>(N</w:t>
            </w:r>
            <w:r>
              <w:rPr>
                <w:b/>
                <w:sz w:val="22"/>
                <w:szCs w:val="22"/>
                <w:vertAlign w:val="subscript"/>
              </w:rPr>
              <w:t>2</w:t>
            </w:r>
            <w:r>
              <w:rPr>
                <w:b/>
                <w:position w:val="0"/>
                <w:sz w:val="22"/>
                <w:sz w:val="22"/>
                <w:szCs w:val="22"/>
                <w:vertAlign w:val="baseline"/>
              </w:rPr>
              <w:t>), Hartree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b/>
                <w:sz w:val="22"/>
                <w:szCs w:val="22"/>
              </w:rPr>
              <w:t>E</w:t>
            </w:r>
            <w:r>
              <w:rPr>
                <w:b/>
                <w:sz w:val="22"/>
                <w:szCs w:val="22"/>
                <w:vertAlign w:val="subscript"/>
              </w:rPr>
              <w:t>MO</w:t>
            </w:r>
            <w:r>
              <w:rPr>
                <w:b/>
                <w:sz w:val="22"/>
                <w:szCs w:val="22"/>
              </w:rPr>
              <w:t xml:space="preserve"> (NH</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b/>
                <w:sz w:val="22"/>
                <w:szCs w:val="22"/>
              </w:rPr>
              <w:t>E</w:t>
            </w:r>
            <w:r>
              <w:rPr>
                <w:b/>
                <w:sz w:val="22"/>
                <w:szCs w:val="22"/>
                <w:vertAlign w:val="subscript"/>
              </w:rPr>
              <w:t xml:space="preserve">MO </w:t>
            </w:r>
            <w:r>
              <w:rPr>
                <w:b/>
                <w:sz w:val="22"/>
                <w:szCs w:val="22"/>
              </w:rPr>
              <w:t>(NH</w:t>
            </w:r>
            <w:r>
              <w:rPr>
                <w:b/>
                <w:sz w:val="22"/>
                <w:szCs w:val="22"/>
                <w:vertAlign w:val="subscript"/>
              </w:rPr>
              <w:t>2</w:t>
            </w:r>
            <w:r>
              <w:rPr>
                <w:b/>
                <w:sz w:val="22"/>
                <w:szCs w:val="22"/>
              </w:rPr>
              <w:t>N</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Fonts w:ascii="Standard Symbols L" w:hAnsi="Standard Symbols L"/>
                <w:b/>
                <w:bCs/>
                <w:sz w:val="16"/>
                <w:szCs w:val="16"/>
              </w:rPr>
              <w:t>D</w:t>
            </w:r>
            <w:r>
              <w:rPr>
                <w:b/>
                <w:sz w:val="22"/>
                <w:szCs w:val="22"/>
              </w:rPr>
              <w:t>E</w:t>
            </w:r>
            <w:r>
              <w:rPr>
                <w:b/>
                <w:sz w:val="22"/>
                <w:szCs w:val="22"/>
                <w:vertAlign w:val="subscript"/>
              </w:rPr>
              <w:t>MO</w:t>
            </w:r>
            <w:r>
              <w:rPr>
                <w:b/>
                <w:sz w:val="22"/>
                <w:szCs w:val="22"/>
              </w:rPr>
              <w:t xml:space="preserve"> (N</w:t>
            </w:r>
            <w:r>
              <w:rPr>
                <w:b/>
                <w:sz w:val="22"/>
                <w:szCs w:val="22"/>
                <w:vertAlign w:val="subscript"/>
              </w:rPr>
              <w:t>2</w:t>
            </w:r>
            <w:r>
              <w:rPr>
                <w:b/>
                <w:sz w:val="22"/>
                <w:szCs w:val="22"/>
              </w:rPr>
              <w:t>)</w:t>
            </w:r>
            <w:r>
              <w:rPr>
                <w:b/>
                <w:position w:val="0"/>
                <w:sz w:val="22"/>
                <w:sz w:val="22"/>
                <w:szCs w:val="22"/>
                <w:vertAlign w:val="baseline"/>
              </w:rPr>
              <w:t>, Hartree</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Fonts w:ascii="Standard Symbols L" w:hAnsi="Standard Symbols L"/>
                <w:b/>
                <w:bCs/>
                <w:sz w:val="16"/>
                <w:szCs w:val="16"/>
              </w:rPr>
              <w:t>D</w:t>
            </w:r>
            <w:r>
              <w:rPr>
                <w:b/>
                <w:sz w:val="22"/>
                <w:szCs w:val="22"/>
              </w:rPr>
              <w:t>E</w:t>
            </w:r>
            <w:r>
              <w:rPr>
                <w:b/>
                <w:sz w:val="22"/>
                <w:szCs w:val="22"/>
                <w:vertAlign w:val="subscript"/>
              </w:rPr>
              <w:t xml:space="preserve">MO </w:t>
            </w:r>
            <w:r>
              <w:rPr>
                <w:b/>
                <w:sz w:val="22"/>
                <w:szCs w:val="22"/>
              </w:rPr>
              <w:t>(NH</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Fonts w:ascii="Standard Symbols L" w:hAnsi="Standard Symbols L"/>
                <w:b/>
                <w:bCs/>
                <w:sz w:val="16"/>
                <w:szCs w:val="16"/>
              </w:rPr>
              <w:t>D</w:t>
            </w:r>
            <w:r>
              <w:rPr>
                <w:b/>
                <w:sz w:val="22"/>
                <w:szCs w:val="22"/>
              </w:rPr>
              <w:t>E</w:t>
            </w:r>
            <w:r>
              <w:rPr>
                <w:b/>
                <w:sz w:val="22"/>
                <w:szCs w:val="22"/>
                <w:vertAlign w:val="subscript"/>
              </w:rPr>
              <w:t>MO</w:t>
            </w:r>
            <w:r>
              <w:rPr>
                <w:b/>
                <w:position w:val="0"/>
                <w:sz w:val="22"/>
                <w:sz w:val="22"/>
                <w:szCs w:val="22"/>
                <w:vertAlign w:val="baseline"/>
              </w:rPr>
              <w:t>, Hartree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Fonts w:ascii="Standard Symbols L" w:hAnsi="Standard Symbols L"/>
                <w:b/>
                <w:bCs/>
                <w:sz w:val="16"/>
                <w:szCs w:val="16"/>
              </w:rPr>
              <w:t>D</w:t>
            </w:r>
            <w:r>
              <w:rPr>
                <w:b/>
                <w:sz w:val="22"/>
                <w:szCs w:val="22"/>
              </w:rPr>
              <w:t>E</w:t>
            </w:r>
            <w:r>
              <w:rPr>
                <w:b/>
                <w:sz w:val="22"/>
                <w:szCs w:val="22"/>
                <w:vertAlign w:val="subscript"/>
              </w:rPr>
              <w:t>MO</w:t>
            </w:r>
            <w:r>
              <w:rPr>
                <w:b/>
                <w:position w:val="0"/>
                <w:sz w:val="22"/>
                <w:sz w:val="22"/>
                <w:szCs w:val="22"/>
                <w:vertAlign w:val="baseline"/>
              </w:rPr>
              <w:t xml:space="preserve">, </w:t>
            </w:r>
            <w:r>
              <w:rPr>
                <w:b/>
                <w:sz w:val="22"/>
                <w:szCs w:val="22"/>
              </w:rPr>
              <w:t>%</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009900"/>
                <w:sz w:val="22"/>
                <w:szCs w:val="22"/>
              </w:rPr>
              <w:t>1</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-14.450116</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-14.813807</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-0.363691</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-0.363691</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009900"/>
                <w:sz w:val="22"/>
                <w:szCs w:val="22"/>
              </w:rPr>
              <w:t>18</w:t>
            </w:r>
            <w:r>
              <w:rPr>
                <w:color w:val="009900"/>
                <w:sz w:val="22"/>
                <w:szCs w:val="22"/>
              </w:rPr>
              <w:t>.</w:t>
            </w:r>
            <w:r>
              <w:rPr>
                <w:color w:val="009900"/>
                <w:sz w:val="22"/>
                <w:szCs w:val="22"/>
              </w:rPr>
              <w:t>1</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FF9900"/>
                <w:sz w:val="22"/>
                <w:szCs w:val="22"/>
              </w:rPr>
              <w:t>2</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9900"/>
                <w:sz w:val="22"/>
                <w:szCs w:val="22"/>
              </w:rPr>
            </w:pPr>
            <w:r>
              <w:rPr>
                <w:color w:val="FF99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-14.889393</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-14.747831</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9900"/>
                <w:sz w:val="22"/>
                <w:szCs w:val="22"/>
              </w:rPr>
            </w:pPr>
            <w:r>
              <w:rPr>
                <w:color w:val="FF99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0.141562</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0.141562</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FF9900"/>
                <w:sz w:val="22"/>
                <w:szCs w:val="22"/>
              </w:rPr>
              <w:t>-</w:t>
            </w:r>
            <w:r>
              <w:rPr>
                <w:color w:val="FF9900"/>
                <w:sz w:val="22"/>
                <w:szCs w:val="22"/>
              </w:rPr>
              <w:t>7</w:t>
            </w:r>
            <w:r>
              <w:rPr>
                <w:color w:val="FF9900"/>
                <w:sz w:val="22"/>
                <w:szCs w:val="22"/>
              </w:rPr>
              <w:t>.</w:t>
            </w:r>
            <w:r>
              <w:rPr>
                <w:color w:val="FF9900"/>
                <w:sz w:val="22"/>
                <w:szCs w:val="22"/>
              </w:rPr>
              <w:t>0</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009900"/>
                <w:sz w:val="22"/>
                <w:szCs w:val="22"/>
              </w:rPr>
              <w:t>3</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-14.44860</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-14.719726</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-0.271126</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-0.271126</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009900"/>
                <w:sz w:val="22"/>
                <w:szCs w:val="22"/>
              </w:rPr>
              <w:t>1</w:t>
            </w:r>
            <w:r>
              <w:rPr>
                <w:color w:val="009900"/>
                <w:sz w:val="22"/>
                <w:szCs w:val="22"/>
              </w:rPr>
              <w:t>3</w:t>
            </w:r>
            <w:r>
              <w:rPr>
                <w:color w:val="009900"/>
                <w:sz w:val="22"/>
                <w:szCs w:val="22"/>
              </w:rPr>
              <w:t>.</w:t>
            </w:r>
            <w:r>
              <w:rPr>
                <w:color w:val="009900"/>
                <w:sz w:val="22"/>
                <w:szCs w:val="22"/>
              </w:rPr>
              <w:t>4</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009900"/>
                <w:sz w:val="22"/>
                <w:szCs w:val="22"/>
              </w:rPr>
              <w:t>4</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009900"/>
                <w:sz w:val="22"/>
                <w:szCs w:val="22"/>
              </w:rPr>
              <w:t>-1.13</w:t>
            </w:r>
            <w:r>
              <w:rPr>
                <w:color w:val="009900"/>
                <w:sz w:val="22"/>
                <w:szCs w:val="22"/>
              </w:rPr>
              <w:t>4986</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-1.458669</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-0.323683</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-0.323683</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009900"/>
                <w:sz w:val="22"/>
                <w:szCs w:val="22"/>
              </w:rPr>
              <w:t>16</w:t>
            </w:r>
            <w:r>
              <w:rPr>
                <w:color w:val="009900"/>
                <w:sz w:val="22"/>
                <w:szCs w:val="22"/>
              </w:rPr>
              <w:t>.</w:t>
            </w:r>
            <w:r>
              <w:rPr>
                <w:color w:val="009900"/>
                <w:sz w:val="22"/>
                <w:szCs w:val="22"/>
              </w:rPr>
              <w:t>1</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FF9900"/>
                <w:sz w:val="22"/>
                <w:szCs w:val="22"/>
              </w:rPr>
              <w:t>5</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9900"/>
                <w:sz w:val="22"/>
                <w:szCs w:val="22"/>
              </w:rPr>
            </w:pPr>
            <w:r>
              <w:rPr>
                <w:color w:val="FF99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-1.265568</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-1.298670</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9900"/>
                <w:sz w:val="22"/>
                <w:szCs w:val="22"/>
              </w:rPr>
            </w:pPr>
            <w:r>
              <w:rPr>
                <w:color w:val="FF99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-0.033102</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-0.033102</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FF9900"/>
                <w:sz w:val="22"/>
                <w:szCs w:val="22"/>
              </w:rPr>
              <w:t>1</w:t>
            </w:r>
            <w:r>
              <w:rPr>
                <w:color w:val="FF9900"/>
                <w:sz w:val="22"/>
                <w:szCs w:val="22"/>
              </w:rPr>
              <w:t>.6</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009900"/>
                <w:sz w:val="22"/>
                <w:szCs w:val="22"/>
              </w:rPr>
              <w:t>6</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009900"/>
                <w:sz w:val="22"/>
                <w:szCs w:val="22"/>
              </w:rPr>
              <w:t>-0.5</w:t>
            </w:r>
            <w:r>
              <w:rPr>
                <w:color w:val="009900"/>
                <w:sz w:val="22"/>
                <w:szCs w:val="22"/>
              </w:rPr>
              <w:t>65855</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-0.965855</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-0.400000</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-0.400000</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009900"/>
                <w:sz w:val="22"/>
                <w:szCs w:val="22"/>
              </w:rPr>
              <w:t>1</w:t>
            </w:r>
            <w:r>
              <w:rPr>
                <w:color w:val="009900"/>
                <w:sz w:val="22"/>
                <w:szCs w:val="22"/>
              </w:rPr>
              <w:t>9</w:t>
            </w:r>
            <w:r>
              <w:rPr>
                <w:color w:val="009900"/>
                <w:sz w:val="22"/>
                <w:szCs w:val="22"/>
              </w:rPr>
              <w:t>.</w:t>
            </w:r>
            <w:r>
              <w:rPr>
                <w:color w:val="009900"/>
                <w:sz w:val="22"/>
                <w:szCs w:val="22"/>
              </w:rPr>
              <w:t>9</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FF9900"/>
                <w:sz w:val="22"/>
                <w:szCs w:val="22"/>
              </w:rPr>
              <w:t>7</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9900"/>
                <w:sz w:val="22"/>
                <w:szCs w:val="22"/>
              </w:rPr>
            </w:pPr>
            <w:r>
              <w:rPr>
                <w:color w:val="FF99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-0.891819</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-0.886050</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9900"/>
                <w:sz w:val="22"/>
                <w:szCs w:val="22"/>
              </w:rPr>
            </w:pPr>
            <w:r>
              <w:rPr>
                <w:color w:val="FF99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0.005769</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0.005769</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FF9900"/>
                <w:sz w:val="22"/>
                <w:szCs w:val="22"/>
              </w:rPr>
              <w:t>-0.</w:t>
            </w:r>
            <w:r>
              <w:rPr>
                <w:color w:val="FF9900"/>
                <w:sz w:val="22"/>
                <w:szCs w:val="22"/>
              </w:rPr>
              <w:t>3</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FF9900"/>
                <w:sz w:val="22"/>
                <w:szCs w:val="22"/>
              </w:rPr>
              <w:t>8</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9900"/>
                <w:sz w:val="22"/>
                <w:szCs w:val="22"/>
              </w:rPr>
            </w:pPr>
            <w:r>
              <w:rPr>
                <w:color w:val="FF99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-0.744735</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-0.809290</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9900"/>
                <w:sz w:val="22"/>
                <w:szCs w:val="22"/>
              </w:rPr>
            </w:pPr>
            <w:r>
              <w:rPr>
                <w:color w:val="FF99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-0.064555</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-0.064555</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FF9900"/>
                <w:sz w:val="22"/>
                <w:szCs w:val="22"/>
              </w:rPr>
              <w:t>3</w:t>
            </w:r>
            <w:r>
              <w:rPr>
                <w:color w:val="FF9900"/>
                <w:sz w:val="22"/>
                <w:szCs w:val="22"/>
              </w:rPr>
              <w:t>.</w:t>
            </w:r>
            <w:r>
              <w:rPr>
                <w:color w:val="FF9900"/>
                <w:sz w:val="22"/>
                <w:szCs w:val="22"/>
              </w:rPr>
              <w:t>2</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009900"/>
                <w:sz w:val="22"/>
                <w:szCs w:val="22"/>
              </w:rPr>
              <w:t>9</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-0.471908</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-0.747709</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-0.275801</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-0.275801</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009900"/>
                <w:sz w:val="22"/>
                <w:szCs w:val="22"/>
              </w:rPr>
              <w:t>13</w:t>
            </w:r>
            <w:r>
              <w:rPr>
                <w:color w:val="009900"/>
                <w:sz w:val="22"/>
                <w:szCs w:val="22"/>
              </w:rPr>
              <w:t>.</w:t>
            </w:r>
            <w:r>
              <w:rPr>
                <w:color w:val="009900"/>
                <w:sz w:val="22"/>
                <w:szCs w:val="22"/>
              </w:rPr>
              <w:t>3</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009900"/>
                <w:sz w:val="22"/>
                <w:szCs w:val="22"/>
              </w:rPr>
              <w:t>10</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009900"/>
                <w:sz w:val="22"/>
                <w:szCs w:val="22"/>
              </w:rPr>
              <w:t>-0.47</w:t>
            </w:r>
            <w:r>
              <w:rPr>
                <w:color w:val="009900"/>
                <w:sz w:val="22"/>
                <w:szCs w:val="22"/>
              </w:rPr>
              <w:t>1925</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-0.738254</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-0.266329</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-0.266329</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009900"/>
                <w:sz w:val="22"/>
                <w:szCs w:val="22"/>
              </w:rPr>
              <w:t>1</w:t>
            </w:r>
            <w:r>
              <w:rPr>
                <w:color w:val="009900"/>
                <w:sz w:val="22"/>
                <w:szCs w:val="22"/>
              </w:rPr>
              <w:t>3</w:t>
            </w:r>
            <w:r>
              <w:rPr>
                <w:color w:val="009900"/>
                <w:sz w:val="22"/>
                <w:szCs w:val="22"/>
              </w:rPr>
              <w:t>.</w:t>
            </w:r>
            <w:r>
              <w:rPr>
                <w:color w:val="009900"/>
                <w:sz w:val="22"/>
                <w:szCs w:val="22"/>
              </w:rPr>
              <w:t>2</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FF0000"/>
                <w:sz w:val="22"/>
                <w:szCs w:val="22"/>
              </w:rPr>
              <w:t>11*</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0000"/>
                <w:sz w:val="22"/>
                <w:szCs w:val="22"/>
              </w:rPr>
              <w:t>-0.438559</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0000"/>
                <w:sz w:val="22"/>
                <w:szCs w:val="22"/>
              </w:rPr>
            </w:pPr>
            <w:r>
              <w:rPr>
                <w:color w:val="FF00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FF0000"/>
                <w:sz w:val="22"/>
                <w:szCs w:val="22"/>
              </w:rPr>
              <w:t>-0.6</w:t>
            </w:r>
            <w:r>
              <w:rPr>
                <w:color w:val="FF0000"/>
                <w:sz w:val="22"/>
                <w:szCs w:val="22"/>
              </w:rPr>
              <w:t>00942</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0000"/>
                <w:sz w:val="22"/>
                <w:szCs w:val="22"/>
              </w:rPr>
              <w:t>-0.162383</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0000"/>
                <w:sz w:val="22"/>
                <w:szCs w:val="22"/>
              </w:rPr>
            </w:pPr>
            <w:r>
              <w:rPr>
                <w:color w:val="FF00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0000"/>
                <w:sz w:val="22"/>
                <w:szCs w:val="22"/>
              </w:rPr>
              <w:t>-0.162383</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FF0000"/>
                <w:sz w:val="22"/>
                <w:szCs w:val="22"/>
              </w:rPr>
              <w:t>8</w:t>
            </w:r>
            <w:r>
              <w:rPr>
                <w:color w:val="FF0000"/>
                <w:sz w:val="22"/>
                <w:szCs w:val="22"/>
              </w:rPr>
              <w:t>.</w:t>
            </w:r>
            <w:r>
              <w:rPr>
                <w:color w:val="FF0000"/>
                <w:sz w:val="22"/>
                <w:szCs w:val="22"/>
              </w:rPr>
              <w:t>1</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Fonts w:eastAsia="Noto Sans CJK SC DemiLight" w:cs="FreeSans" w:ascii="Standard Symbols L" w:hAnsi="Standard Symbols L"/>
                <w:b/>
                <w:sz w:val="22"/>
                <w:szCs w:val="22"/>
              </w:rPr>
              <w:t>S</w:t>
            </w:r>
            <w:r>
              <w:rPr>
                <w:rFonts w:eastAsia="Noto Sans CJK SC DemiLight" w:cs="FreeSans" w:ascii="Standard Symbols L" w:hAnsi="Standard Symbols L"/>
                <w:b/>
                <w:position w:val="0"/>
                <w:sz w:val="22"/>
                <w:sz w:val="22"/>
                <w:szCs w:val="22"/>
                <w:vertAlign w:val="baseline"/>
              </w:rPr>
              <w:t>,</w:t>
            </w:r>
            <w:r>
              <w:rPr>
                <w:rFonts w:eastAsia="Noto Sans CJK SC DemiLight" w:cs="FreeSans" w:ascii="FreeSerif" w:hAnsi="FreeSerif"/>
                <w:b/>
                <w:sz w:val="22"/>
                <w:szCs w:val="22"/>
              </w:rPr>
              <w:t xml:space="preserve"> </w:t>
            </w:r>
            <w:r>
              <w:rPr>
                <w:rFonts w:eastAsia="Noto Sans CJK SC DemiLight" w:cs="FreeSans" w:ascii="FreeSerif" w:hAnsi="FreeSerif"/>
                <w:b/>
                <w:position w:val="0"/>
                <w:sz w:val="22"/>
                <w:sz w:val="22"/>
                <w:szCs w:val="22"/>
                <w:vertAlign w:val="baseline"/>
              </w:rPr>
              <w:t>Hartree</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b/>
                <w:sz w:val="22"/>
                <w:szCs w:val="22"/>
              </w:rPr>
              <w:t>-31.981949</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b/>
                <w:sz w:val="22"/>
                <w:szCs w:val="22"/>
              </w:rPr>
              <w:t>-17.791515</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b/>
                <w:sz w:val="22"/>
                <w:szCs w:val="22"/>
              </w:rPr>
              <w:t>-51.786803</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b/>
                <w:sz w:val="22"/>
                <w:szCs w:val="22"/>
              </w:rPr>
              <w:t>-2.063013</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b/>
                <w:sz w:val="22"/>
                <w:szCs w:val="22"/>
              </w:rPr>
              <w:t>0.049674</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b/>
                <w:sz w:val="22"/>
                <w:szCs w:val="22"/>
              </w:rPr>
              <w:t>-2.013339</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b/>
                <w:b/>
                <w:sz w:val="22"/>
                <w:szCs w:val="22"/>
              </w:rPr>
            </w:pPr>
            <w:r>
              <w:rPr>
                <w:b/>
                <w:sz w:val="22"/>
                <w:szCs w:val="22"/>
              </w:rPr>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Fonts w:eastAsia="Noto Sans CJK SC DemiLight" w:cs="FreeSans" w:ascii="Standard Symbols L" w:hAnsi="Standard Symbols L"/>
                <w:b/>
                <w:sz w:val="22"/>
                <w:szCs w:val="22"/>
              </w:rPr>
              <w:t>S</w:t>
            </w:r>
            <w:r>
              <w:rPr>
                <w:rFonts w:eastAsia="Noto Sans CJK SC DemiLight" w:cs="FreeSans" w:ascii="Standard Symbols L" w:hAnsi="Standard Symbols L"/>
                <w:b/>
                <w:position w:val="0"/>
                <w:sz w:val="22"/>
                <w:sz w:val="22"/>
                <w:szCs w:val="22"/>
                <w:vertAlign w:val="baseline"/>
              </w:rPr>
              <w:t>,</w:t>
            </w:r>
            <w:r>
              <w:rPr>
                <w:rFonts w:eastAsia="Noto Sans CJK SC DemiLight" w:cs="FreeSans" w:ascii="Standard Symbols L" w:hAnsi="Standard Symbols L"/>
                <w:b/>
                <w:sz w:val="22"/>
                <w:szCs w:val="22"/>
              </w:rPr>
              <w:t xml:space="preserve"> </w:t>
            </w:r>
            <w:r>
              <w:rPr>
                <w:b/>
                <w:sz w:val="22"/>
                <w:szCs w:val="22"/>
              </w:rPr>
              <w:t>%</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b/>
                <w:sz w:val="22"/>
                <w:szCs w:val="22"/>
              </w:rPr>
              <w:t>61.8</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b/>
                <w:sz w:val="22"/>
                <w:szCs w:val="22"/>
              </w:rPr>
              <w:t>34.4</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b/>
                <w:b/>
                <w:sz w:val="22"/>
                <w:szCs w:val="22"/>
              </w:rPr>
            </w:pPr>
            <w:r>
              <w:rPr>
                <w:b/>
                <w:sz w:val="22"/>
                <w:szCs w:val="22"/>
              </w:rPr>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b/>
                <w:sz w:val="22"/>
                <w:szCs w:val="22"/>
              </w:rPr>
              <w:t>102.5</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b/>
                <w:sz w:val="22"/>
                <w:szCs w:val="22"/>
              </w:rPr>
              <w:t>-2.5</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b/>
                <w:b/>
                <w:sz w:val="22"/>
                <w:szCs w:val="22"/>
              </w:rPr>
            </w:pPr>
            <w:r>
              <w:rPr>
                <w:b/>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b/>
                <w:b/>
                <w:sz w:val="22"/>
                <w:szCs w:val="22"/>
              </w:rPr>
            </w:pPr>
            <w:r>
              <w:rPr>
                <w:b/>
                <w:sz w:val="22"/>
                <w:szCs w:val="22"/>
              </w:rPr>
            </w:r>
          </w:p>
        </w:tc>
      </w:tr>
      <w:tr>
        <w:trPr/>
        <w:tc>
          <w:tcPr>
            <w:tcW w:w="10770" w:type="dxa"/>
            <w:gridSpan w:val="8"/>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b/>
                <w:sz w:val="22"/>
                <w:szCs w:val="22"/>
              </w:rPr>
              <w:t>Unoccupied molecular orbitals</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sz w:val="22"/>
                <w:szCs w:val="22"/>
              </w:rPr>
              <w:t xml:space="preserve">№ </w:t>
            </w:r>
            <w:r>
              <w:rPr>
                <w:b/>
                <w:sz w:val="22"/>
                <w:szCs w:val="22"/>
              </w:rPr>
              <w:t>MO</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b/>
                <w:sz w:val="22"/>
                <w:szCs w:val="22"/>
              </w:rPr>
              <w:t>E</w:t>
            </w:r>
            <w:r>
              <w:rPr>
                <w:b/>
                <w:sz w:val="22"/>
                <w:szCs w:val="22"/>
                <w:vertAlign w:val="subscript"/>
              </w:rPr>
              <w:t xml:space="preserve">MO </w:t>
            </w:r>
            <w:r>
              <w:rPr>
                <w:b/>
                <w:sz w:val="22"/>
                <w:szCs w:val="22"/>
              </w:rPr>
              <w:t>(N</w:t>
            </w:r>
            <w:r>
              <w:rPr>
                <w:b/>
                <w:sz w:val="22"/>
                <w:szCs w:val="22"/>
                <w:vertAlign w:val="subscript"/>
              </w:rPr>
              <w:t>2</w:t>
            </w:r>
            <w:r>
              <w:rPr>
                <w:b/>
                <w:position w:val="0"/>
                <w:sz w:val="22"/>
                <w:sz w:val="22"/>
                <w:szCs w:val="22"/>
                <w:vertAlign w:val="baseline"/>
              </w:rPr>
              <w:t>), Hartree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b/>
                <w:sz w:val="22"/>
                <w:szCs w:val="22"/>
              </w:rPr>
              <w:t>E</w:t>
            </w:r>
            <w:r>
              <w:rPr>
                <w:b/>
                <w:sz w:val="22"/>
                <w:szCs w:val="22"/>
                <w:vertAlign w:val="subscript"/>
              </w:rPr>
              <w:t>MO</w:t>
            </w:r>
            <w:r>
              <w:rPr>
                <w:b/>
                <w:sz w:val="22"/>
                <w:szCs w:val="22"/>
              </w:rPr>
              <w:t xml:space="preserve"> (NH</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b/>
                <w:sz w:val="22"/>
                <w:szCs w:val="22"/>
              </w:rPr>
              <w:t>E</w:t>
            </w:r>
            <w:r>
              <w:rPr>
                <w:b/>
                <w:sz w:val="22"/>
                <w:szCs w:val="22"/>
                <w:vertAlign w:val="subscript"/>
              </w:rPr>
              <w:t xml:space="preserve">MO </w:t>
            </w:r>
            <w:r>
              <w:rPr>
                <w:b/>
                <w:sz w:val="22"/>
                <w:szCs w:val="22"/>
              </w:rPr>
              <w:t>(NH</w:t>
            </w:r>
            <w:r>
              <w:rPr>
                <w:b/>
                <w:sz w:val="22"/>
                <w:szCs w:val="22"/>
                <w:vertAlign w:val="subscript"/>
              </w:rPr>
              <w:t>2</w:t>
            </w:r>
            <w:r>
              <w:rPr>
                <w:b/>
                <w:sz w:val="22"/>
                <w:szCs w:val="22"/>
              </w:rPr>
              <w:t>N</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Fonts w:ascii="Standard Symbols L" w:hAnsi="Standard Symbols L"/>
                <w:b/>
                <w:bCs/>
                <w:sz w:val="16"/>
                <w:szCs w:val="16"/>
              </w:rPr>
              <w:t>D</w:t>
            </w:r>
            <w:r>
              <w:rPr>
                <w:b/>
                <w:sz w:val="22"/>
                <w:szCs w:val="22"/>
              </w:rPr>
              <w:t>E</w:t>
            </w:r>
            <w:r>
              <w:rPr>
                <w:b/>
                <w:sz w:val="22"/>
                <w:szCs w:val="22"/>
                <w:vertAlign w:val="subscript"/>
              </w:rPr>
              <w:t>MO</w:t>
            </w:r>
            <w:r>
              <w:rPr>
                <w:b/>
                <w:sz w:val="22"/>
                <w:szCs w:val="22"/>
              </w:rPr>
              <w:t xml:space="preserve"> (N</w:t>
            </w:r>
            <w:r>
              <w:rPr>
                <w:b/>
                <w:sz w:val="22"/>
                <w:szCs w:val="22"/>
                <w:vertAlign w:val="subscript"/>
              </w:rPr>
              <w:t>2</w:t>
            </w:r>
            <w:r>
              <w:rPr>
                <w:b/>
                <w:sz w:val="22"/>
                <w:szCs w:val="22"/>
              </w:rPr>
              <w:t>)</w:t>
            </w:r>
            <w:r>
              <w:rPr>
                <w:b/>
                <w:position w:val="0"/>
                <w:sz w:val="22"/>
                <w:sz w:val="22"/>
                <w:szCs w:val="22"/>
                <w:vertAlign w:val="baseline"/>
              </w:rPr>
              <w:t>, Hartree</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Fonts w:ascii="Standard Symbols L" w:hAnsi="Standard Symbols L"/>
                <w:b/>
                <w:bCs/>
                <w:sz w:val="16"/>
                <w:szCs w:val="16"/>
              </w:rPr>
              <w:t>D</w:t>
            </w:r>
            <w:r>
              <w:rPr>
                <w:b/>
                <w:sz w:val="22"/>
                <w:szCs w:val="22"/>
              </w:rPr>
              <w:t>E</w:t>
            </w:r>
            <w:r>
              <w:rPr>
                <w:b/>
                <w:sz w:val="22"/>
                <w:szCs w:val="22"/>
                <w:vertAlign w:val="subscript"/>
              </w:rPr>
              <w:t xml:space="preserve">MO </w:t>
            </w:r>
            <w:r>
              <w:rPr>
                <w:b/>
                <w:sz w:val="22"/>
                <w:szCs w:val="22"/>
              </w:rPr>
              <w:t>(NH</w:t>
            </w:r>
            <w:r>
              <w:rPr>
                <w:b/>
                <w:sz w:val="22"/>
                <w:szCs w:val="22"/>
                <w:vertAlign w:val="subscript"/>
              </w:rPr>
              <w:t>2</w:t>
            </w:r>
            <w:r>
              <w:rPr>
                <w:b/>
                <w:sz w:val="22"/>
                <w:szCs w:val="22"/>
                <w:vertAlign w:val="superscript"/>
              </w:rPr>
              <w:t>+</w:t>
            </w:r>
            <w:r>
              <w:rPr>
                <w:b/>
                <w:sz w:val="22"/>
                <w:szCs w:val="22"/>
              </w:rPr>
              <w:t>)</w:t>
            </w:r>
            <w:r>
              <w:rPr>
                <w:b/>
                <w:position w:val="0"/>
                <w:sz w:val="22"/>
                <w:sz w:val="22"/>
                <w:szCs w:val="22"/>
                <w:vertAlign w:val="baseline"/>
              </w:rPr>
              <w:t>, Hartree</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Fonts w:ascii="Standard Symbols L" w:hAnsi="Standard Symbols L"/>
                <w:b/>
                <w:bCs/>
                <w:sz w:val="16"/>
                <w:szCs w:val="16"/>
              </w:rPr>
              <w:t>D</w:t>
            </w:r>
            <w:r>
              <w:rPr>
                <w:b/>
                <w:sz w:val="22"/>
                <w:szCs w:val="22"/>
              </w:rPr>
              <w:t>E</w:t>
            </w:r>
            <w:r>
              <w:rPr>
                <w:b/>
                <w:sz w:val="22"/>
                <w:szCs w:val="22"/>
                <w:vertAlign w:val="subscript"/>
              </w:rPr>
              <w:t>MO</w:t>
            </w:r>
            <w:r>
              <w:rPr>
                <w:b/>
                <w:position w:val="0"/>
                <w:sz w:val="22"/>
                <w:sz w:val="22"/>
                <w:szCs w:val="22"/>
                <w:vertAlign w:val="baseline"/>
              </w:rPr>
              <w:t>, Hartree</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pPr>
            <w:r>
              <w:rPr>
                <w:rFonts w:ascii="Standard Symbols L" w:hAnsi="Standard Symbols L"/>
                <w:b/>
                <w:bCs/>
                <w:sz w:val="16"/>
                <w:szCs w:val="16"/>
              </w:rPr>
              <w:t>D</w:t>
            </w:r>
            <w:r>
              <w:rPr>
                <w:b/>
                <w:sz w:val="22"/>
                <w:szCs w:val="22"/>
              </w:rPr>
              <w:t>E</w:t>
            </w:r>
            <w:r>
              <w:rPr>
                <w:b/>
                <w:sz w:val="22"/>
                <w:szCs w:val="22"/>
                <w:vertAlign w:val="subscript"/>
              </w:rPr>
              <w:t>MO</w:t>
            </w:r>
            <w:r>
              <w:rPr>
                <w:b/>
                <w:position w:val="0"/>
                <w:sz w:val="22"/>
                <w:sz w:val="22"/>
                <w:szCs w:val="22"/>
                <w:vertAlign w:val="baseline"/>
              </w:rPr>
              <w:t xml:space="preserve">, </w:t>
            </w:r>
            <w:r>
              <w:rPr>
                <w:b/>
                <w:sz w:val="22"/>
                <w:szCs w:val="22"/>
              </w:rPr>
              <w:t>%</w:t>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009900"/>
                <w:sz w:val="22"/>
                <w:szCs w:val="22"/>
              </w:rPr>
              <w:t>12</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009900"/>
                <w:sz w:val="22"/>
                <w:szCs w:val="22"/>
              </w:rPr>
              <w:t>-0.0</w:t>
            </w:r>
            <w:r>
              <w:rPr>
                <w:color w:val="009900"/>
                <w:sz w:val="22"/>
                <w:szCs w:val="22"/>
              </w:rPr>
              <w:t>39746</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-0.338540</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-0.298794</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009900"/>
                <w:sz w:val="22"/>
                <w:szCs w:val="22"/>
              </w:rPr>
            </w:pPr>
            <w:r>
              <w:rPr>
                <w:color w:val="009900"/>
                <w:sz w:val="22"/>
                <w:szCs w:val="22"/>
              </w:rPr>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009900"/>
                <w:sz w:val="22"/>
                <w:szCs w:val="22"/>
              </w:rPr>
              <w:t>-0.298794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color w:val="009900"/>
                <w:sz w:val="22"/>
                <w:szCs w:val="22"/>
              </w:rPr>
            </w:pPr>
            <w:r>
              <w:rPr/>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FF9900"/>
                <w:sz w:val="22"/>
                <w:szCs w:val="22"/>
              </w:rPr>
              <w:t>13</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9900"/>
                <w:sz w:val="22"/>
                <w:szCs w:val="22"/>
              </w:rPr>
            </w:pPr>
            <w:r>
              <w:rPr>
                <w:color w:val="FF99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-0.265744</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pPr>
            <w:r>
              <w:rPr>
                <w:color w:val="FF9900"/>
                <w:sz w:val="22"/>
                <w:szCs w:val="22"/>
              </w:rPr>
              <w:t>-0.</w:t>
            </w:r>
            <w:r>
              <w:rPr>
                <w:color w:val="FF9900"/>
                <w:sz w:val="22"/>
                <w:szCs w:val="22"/>
              </w:rPr>
              <w:t>199308</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9900"/>
                <w:sz w:val="22"/>
                <w:szCs w:val="22"/>
              </w:rPr>
            </w:pPr>
            <w:r>
              <w:rPr>
                <w:color w:val="FF99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-0.033564</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9900"/>
                <w:sz w:val="22"/>
                <w:szCs w:val="22"/>
              </w:rPr>
              <w:t>-0.033564</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color w:val="FF9900"/>
                <w:sz w:val="22"/>
                <w:szCs w:val="22"/>
              </w:rPr>
            </w:pPr>
            <w:r>
              <w:rPr/>
            </w:r>
          </w:p>
        </w:tc>
      </w:tr>
      <w:tr>
        <w:trPr/>
        <w:tc>
          <w:tcPr>
            <w:tcW w:w="9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center"/>
              <w:rPr>
                <w:sz w:val="22"/>
                <w:szCs w:val="22"/>
              </w:rPr>
            </w:pPr>
            <w:r>
              <w:rPr>
                <w:color w:val="FF0000"/>
                <w:sz w:val="22"/>
                <w:szCs w:val="22"/>
              </w:rPr>
              <w:t>14*</w:t>
            </w:r>
          </w:p>
        </w:tc>
        <w:tc>
          <w:tcPr>
            <w:tcW w:w="124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0000"/>
                <w:sz w:val="22"/>
                <w:szCs w:val="22"/>
              </w:rPr>
            </w:pPr>
            <w:r>
              <w:rPr>
                <w:color w:val="FF0000"/>
                <w:sz w:val="22"/>
                <w:szCs w:val="22"/>
              </w:rPr>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0000"/>
                <w:sz w:val="22"/>
                <w:szCs w:val="22"/>
              </w:rPr>
              <w:t>-0.610093</w:t>
            </w:r>
          </w:p>
        </w:tc>
        <w:tc>
          <w:tcPr>
            <w:tcW w:w="17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0000"/>
                <w:sz w:val="22"/>
                <w:szCs w:val="22"/>
              </w:rPr>
              <w:t>-0.235372</w:t>
            </w:r>
          </w:p>
        </w:tc>
        <w:tc>
          <w:tcPr>
            <w:tcW w:w="14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rPr>
                <w:color w:val="FF0000"/>
                <w:sz w:val="22"/>
                <w:szCs w:val="22"/>
              </w:rPr>
            </w:pPr>
            <w:r>
              <w:rPr>
                <w:color w:val="FF0000"/>
                <w:sz w:val="22"/>
                <w:szCs w:val="22"/>
              </w:rPr>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0000"/>
                <w:sz w:val="22"/>
                <w:szCs w:val="22"/>
              </w:rPr>
              <w:t>0.374721</w:t>
            </w:r>
          </w:p>
        </w:tc>
        <w:tc>
          <w:tcPr>
            <w:tcW w:w="1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sz w:val="22"/>
                <w:szCs w:val="22"/>
              </w:rPr>
            </w:pPr>
            <w:r>
              <w:rPr>
                <w:color w:val="FF0000"/>
                <w:sz w:val="22"/>
                <w:szCs w:val="22"/>
              </w:rPr>
              <w:t>0.374721</w:t>
            </w:r>
          </w:p>
        </w:tc>
        <w:tc>
          <w:tcPr>
            <w:tcW w:w="13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21"/>
              <w:jc w:val="right"/>
              <w:rPr>
                <w:color w:val="FF0000"/>
                <w:sz w:val="22"/>
                <w:szCs w:val="22"/>
              </w:rPr>
            </w:pPr>
            <w:r>
              <w:rPr/>
            </w:r>
          </w:p>
        </w:tc>
      </w:tr>
    </w:tbl>
    <w:p>
      <w:pPr>
        <w:pStyle w:val="Normal"/>
        <w:rPr/>
      </w:pPr>
      <w:r>
        <w:rPr/>
      </w:r>
    </w:p>
    <w:p>
      <w:pPr>
        <w:pStyle w:val="Normal"/>
        <w:widowControl/>
        <w:overflowPunct w:val="true"/>
        <w:bidi w:val="0"/>
        <w:ind w:left="0" w:right="0" w:firstLine="567"/>
        <w:jc w:val="both"/>
        <w:rPr/>
      </w:pPr>
      <w:r>
        <w:rPr/>
      </w:r>
    </w:p>
    <w:sectPr>
      <w:footerReference w:type="default" r:id="rId9"/>
      <w:type w:val="nextPage"/>
      <w:pgSz w:w="11906" w:h="16838"/>
      <w:pgMar w:left="567" w:right="567" w:header="0" w:top="567" w:footer="567" w:bottom="1126"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tandard Symbols L">
    <w:charset w:val="01"/>
    <w:family w:val="roman"/>
    <w:pitch w:val="variable"/>
  </w:font>
  <w:font w:name="FreeSans">
    <w:charset w:val="01"/>
    <w:family w:val="roman"/>
    <w:pitch w:val="variable"/>
  </w:font>
  <w:font w:name="Free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jc w:val="right"/>
      <w:rPr/>
    </w:pP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5</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 w:val="20"/>
        <w:szCs w:val="24"/>
        <w:lang w:val="ru-R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DemiLight" w:cs="FreeSans"/>
      <w:color w:val="00000A"/>
      <w:sz w:val="24"/>
      <w:szCs w:val="24"/>
      <w:lang w:val="ru-RU" w:eastAsia="zh-CN" w:bidi="hi-IN"/>
    </w:rPr>
  </w:style>
  <w:style w:type="character" w:styleId="Style14">
    <w:name w:val="Интернет-ссылка"/>
    <w:rPr>
      <w:color w:val="000080"/>
      <w:u w:val="single"/>
      <w:lang w:val="zxx" w:eastAsia="zxx" w:bidi="zxx"/>
    </w:rPr>
  </w:style>
  <w:style w:type="paragraph" w:styleId="Style15">
    <w:name w:val="Заголовок"/>
    <w:basedOn w:val="Normal"/>
    <w:next w:val="Style16"/>
    <w:qFormat/>
    <w:pPr>
      <w:keepNext/>
      <w:spacing w:before="240" w:after="120"/>
    </w:pPr>
    <w:rPr>
      <w:rFonts w:ascii="Liberation Sans" w:hAnsi="Liberation Sans" w:eastAsia="Noto Sans CJK SC DemiLight" w:cs="FreeSans"/>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Footer"/>
    <w:basedOn w:val="Normal"/>
    <w:pPr>
      <w:suppressLineNumbers/>
      <w:tabs>
        <w:tab w:val="center" w:pos="7852" w:leader="none"/>
        <w:tab w:val="right" w:pos="15704" w:leader="none"/>
      </w:tabs>
    </w:pPr>
    <w:rPr/>
  </w:style>
  <w:style w:type="paragraph" w:styleId="Style21">
    <w:name w:val="Содержимое таблицы"/>
    <w:basedOn w:val="Normal"/>
    <w:qFormat/>
    <w:pPr>
      <w:suppressLineNumbers/>
    </w:pPr>
    <w:rPr/>
  </w:style>
  <w:style w:type="paragraph" w:styleId="Style22">
    <w:name w:val="Заголовок таблицы"/>
    <w:basedOn w:val="Style21"/>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ewrou.github.io/diazo-stn/MO/NH2-N2+/MO/index.htm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900</TotalTime>
  <Application>LibreOffice/5.2.7.2$Linux_X86_64 LibreOffice_project/20m0$Build-2</Application>
  <Pages>5</Pages>
  <Words>1267</Words>
  <Characters>8695</Characters>
  <CharactersWithSpaces>9796</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2018-04-20T08:52:24Z</dcterms:created>
  <dc:creator/>
  <dc:description/>
  <dc:language>ru-RU</dc:language>
  <cp:lastModifiedBy>Александр Александрович Бондарев</cp:lastModifiedBy>
  <dcterms:modified xsi:type="dcterms:W3CDTF">2018-10-04T16:44:41Z</dcterms:modified>
  <cp:revision>163</cp:revision>
  <dc:subject/>
  <dc:title/>
</cp:coreProperties>
</file>