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pPr>
      <w:r>
        <w:rPr/>
        <w:t>Таблица 1.</w:t>
      </w:r>
    </w:p>
    <w:p>
      <w:pPr>
        <w:pStyle w:val="Normal"/>
        <w:jc w:val="center"/>
        <w:rPr/>
      </w:pPr>
      <w:r>
        <w:rPr/>
        <w:t>Структурные параметры частиц в системе [NH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bl>
      <w:tblPr>
        <w:tblW w:w="107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795"/>
        <w:gridCol w:w="1795"/>
        <w:gridCol w:w="1791"/>
        <w:gridCol w:w="1797"/>
        <w:gridCol w:w="1795"/>
        <w:gridCol w:w="1798"/>
      </w:tblGrid>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b/>
                <w:bCs/>
              </w:rPr>
              <w:t>Compound</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b/>
                <w:bCs/>
              </w:rPr>
              <w:t>d(NH</w:t>
            </w:r>
            <w:r>
              <w:rPr>
                <w:b/>
                <w:bCs/>
                <w:vertAlign w:val="subscript"/>
              </w:rPr>
              <w:t>2</w:t>
            </w:r>
            <w:r>
              <w:rPr>
                <w:b/>
                <w:bCs/>
              </w:rPr>
              <w:t>—N</w:t>
            </w:r>
            <w:r>
              <w:rPr>
                <w:b/>
                <w:bCs/>
                <w:vertAlign w:val="subscript"/>
              </w:rPr>
              <w:t>2</w:t>
            </w:r>
            <w:r>
              <w:rPr>
                <w:b/>
                <w:bCs/>
              </w:rPr>
              <w:t xml:space="preserve">), </w:t>
            </w:r>
            <w:r>
              <w:rPr>
                <w:rFonts w:eastAsia="Noto Sans CJK SC DemiLight" w:cs="FreeSans"/>
                <w:b/>
                <w:bCs/>
              </w:rPr>
              <w:t>Å</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b/>
                <w:bCs/>
              </w:rPr>
              <w:t xml:space="preserve">d(N-N), </w:t>
            </w:r>
            <w:r>
              <w:rPr>
                <w:rFonts w:eastAsia="Noto Sans CJK SC DemiLight" w:cs="FreeSans"/>
                <w:b/>
                <w:bCs/>
              </w:rPr>
              <w:t>Å</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b/>
                <w:bCs/>
              </w:rPr>
              <w:t xml:space="preserve">d(N-H), </w:t>
            </w:r>
            <w:r>
              <w:rPr>
                <w:rFonts w:eastAsia="Noto Sans CJK SC DemiLight" w:cs="FreeSans"/>
                <w:b/>
                <w:bCs/>
              </w:rPr>
              <w:t>Å</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rFonts w:eastAsia="Noto Sans CJK SC DemiLight" w:cs="FreeSans" w:ascii="Standard Symbols L" w:hAnsi="Standard Symbols L"/>
                <w:b/>
                <w:bCs/>
                <w:sz w:val="20"/>
                <w:szCs w:val="20"/>
              </w:rPr>
              <w:t>Ð</w:t>
            </w:r>
            <w:r>
              <w:rPr>
                <w:b/>
                <w:bCs/>
              </w:rPr>
              <w:t>(H-N-H)</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b/>
                <w:b/>
                <w:bCs/>
              </w:rPr>
            </w:pPr>
            <w:r>
              <w:rPr>
                <w:rFonts w:eastAsia="Noto Sans CJK SC DemiLight" w:cs="FreeSans" w:ascii="Standard Symbols L" w:hAnsi="Standard Symbols L"/>
                <w:b/>
                <w:bCs/>
                <w:sz w:val="20"/>
                <w:szCs w:val="20"/>
              </w:rPr>
              <w:t>Ð</w:t>
            </w:r>
            <w:r>
              <w:rPr>
                <w:b/>
                <w:bCs/>
              </w:rPr>
              <w:t>(N-N-N)</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w:t>
            </w:r>
            <w:r>
              <w:rPr>
                <w:vertAlign w:val="subscript"/>
              </w:rPr>
              <w:t>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1.104</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NH</w:t>
            </w:r>
            <w:r>
              <w:rPr>
                <w:vertAlign w:val="subscript"/>
              </w:rPr>
              <w:t>2</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1.062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107.0</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w:t>
            </w:r>
            <w:r>
              <w:rPr>
                <w:vertAlign w:val="subscript"/>
              </w:rPr>
              <w:t>2</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1.117</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NH</w:t>
            </w:r>
            <w:r>
              <w:rPr>
                <w:vertAlign w:val="subscript"/>
              </w:rPr>
              <w:t>2</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1.034</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102.9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NH</w:t>
            </w:r>
            <w:r>
              <w:rPr>
                <w:vertAlign w:val="subscript"/>
              </w:rPr>
              <w:t>2</w:t>
            </w:r>
            <w:r>
              <w:rPr/>
              <w:t>N</w:t>
            </w:r>
            <w:r>
              <w:rPr>
                <w:vertAlign w:val="subscript"/>
              </w:rPr>
              <w:t>2</w:t>
            </w:r>
            <w:r>
              <w:rPr>
                <w:vertAlign w:val="superscript"/>
              </w:rPr>
              <w:t>+</w:t>
            </w:r>
            <w:r>
              <w:rPr/>
              <w:t xml:space="preserve"> (optim)</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1.288</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1.116</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1.024</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121.1</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175.7</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16.9</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1.106</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1.051</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105.9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50.9</w:t>
            </w:r>
          </w:p>
        </w:tc>
        <w:tc>
          <w:tcPr>
            <w:tcW w:w="17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1.106</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1.051</w:t>
            </w:r>
          </w:p>
        </w:tc>
        <w:tc>
          <w:tcPr>
            <w:tcW w:w="17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105.9</w:t>
            </w:r>
          </w:p>
        </w:tc>
        <w:tc>
          <w:tcPr>
            <w:tcW w:w="17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w:t>
            </w:r>
          </w:p>
        </w:tc>
      </w:tr>
    </w:tbl>
    <w:p>
      <w:pPr>
        <w:pStyle w:val="Normal"/>
        <w:rPr/>
      </w:pPr>
      <w:r>
        <w:rPr/>
      </w:r>
    </w:p>
    <w:p>
      <w:pPr>
        <w:pStyle w:val="Normal"/>
        <w:jc w:val="right"/>
        <w:rPr/>
      </w:pPr>
      <w:r>
        <w:rPr/>
        <w:t>Таблица 2.</w:t>
      </w:r>
    </w:p>
    <w:p>
      <w:pPr>
        <w:pStyle w:val="Normal"/>
        <w:jc w:val="center"/>
        <w:rPr/>
      </w:pPr>
      <w:r>
        <w:rPr/>
        <w:t>Термодинамика разлицных вариантов распада NH</w:t>
      </w:r>
      <w:r>
        <w:rPr>
          <w:vertAlign w:val="subscript"/>
        </w:rPr>
        <w:t>2</w:t>
      </w:r>
      <w:r>
        <w:rPr/>
        <w:t>N</w:t>
      </w:r>
      <w:r>
        <w:rPr>
          <w:vertAlign w:val="subscript"/>
        </w:rPr>
        <w:t>2</w:t>
      </w:r>
      <w:r>
        <w:rPr>
          <w:vertAlign w:val="superscript"/>
        </w:rPr>
        <w:t>+</w:t>
      </w:r>
    </w:p>
    <w:tbl>
      <w:tblPr>
        <w:tblW w:w="107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590"/>
        <w:gridCol w:w="1793"/>
        <w:gridCol w:w="1794"/>
        <w:gridCol w:w="1794"/>
        <w:gridCol w:w="1801"/>
      </w:tblGrid>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b/>
                <w:bCs/>
              </w:rPr>
              <w:t>Reaction</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rFonts w:ascii="Standard Symbols L" w:hAnsi="Standard Symbols L"/>
                <w:b/>
                <w:bCs/>
                <w:sz w:val="20"/>
                <w:szCs w:val="20"/>
              </w:rPr>
              <w:t>D</w:t>
            </w:r>
            <w:r>
              <w:rPr>
                <w:b/>
                <w:bCs/>
              </w:rPr>
              <w:t>E</w:t>
            </w:r>
            <w:r>
              <w:rPr>
                <w:b/>
                <w:bCs/>
                <w:vertAlign w:val="subscript"/>
              </w:rPr>
              <w:t>0</w:t>
            </w:r>
            <w:r>
              <w:rPr>
                <w:b/>
                <w:bCs/>
              </w:rPr>
              <w:t>, kJ/mol</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rFonts w:ascii="Standard Symbols L" w:hAnsi="Standard Symbols L"/>
                <w:b/>
                <w:bCs/>
                <w:sz w:val="20"/>
                <w:szCs w:val="20"/>
              </w:rPr>
              <w:t>D</w:t>
            </w:r>
            <w:r>
              <w:rPr>
                <w:b/>
                <w:bCs/>
              </w:rPr>
              <w:t>G</w:t>
            </w:r>
            <w:r>
              <w:rPr>
                <w:b/>
                <w:bCs/>
                <w:vertAlign w:val="superscript"/>
              </w:rPr>
              <w:t>298</w:t>
            </w:r>
            <w:r>
              <w:rPr>
                <w:b/>
                <w:bCs/>
                <w:position w:val="0"/>
                <w:sz w:val="24"/>
                <w:sz w:val="24"/>
                <w:vertAlign w:val="baseline"/>
              </w:rPr>
              <w:t>, kJ/mol</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b/>
                <w:b/>
                <w:bCs/>
              </w:rPr>
            </w:pPr>
            <w:r>
              <w:rPr>
                <w:rFonts w:ascii="Standard Symbols L" w:hAnsi="Standard Symbols L"/>
                <w:b/>
                <w:bCs/>
                <w:sz w:val="20"/>
                <w:szCs w:val="20"/>
              </w:rPr>
              <w:t>D</w:t>
            </w:r>
            <w:r>
              <w:rPr>
                <w:b/>
                <w:bCs/>
              </w:rPr>
              <w:t>H</w:t>
            </w:r>
            <w:r>
              <w:rPr>
                <w:b/>
                <w:bCs/>
                <w:vertAlign w:val="superscript"/>
              </w:rPr>
              <w:t>298</w:t>
            </w:r>
            <w:r>
              <w:rPr>
                <w:b/>
                <w:bCs/>
              </w:rPr>
              <w:t>, kJ/mol</w:t>
            </w:r>
          </w:p>
        </w:tc>
        <w:tc>
          <w:tcPr>
            <w:tcW w:w="18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b/>
                <w:b/>
                <w:bCs/>
              </w:rPr>
            </w:pPr>
            <w:r>
              <w:rPr>
                <w:rFonts w:ascii="Standard Symbols L" w:hAnsi="Standard Symbols L"/>
                <w:b/>
                <w:bCs/>
                <w:sz w:val="20"/>
                <w:szCs w:val="20"/>
              </w:rPr>
              <w:t>D</w:t>
            </w:r>
            <w:r>
              <w:rPr>
                <w:b/>
                <w:bCs/>
              </w:rPr>
              <w:t>S*298</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s-NH</w:t>
            </w:r>
            <w:r>
              <w:rPr>
                <w:position w:val="-5"/>
                <w:sz w:val="19"/>
              </w:rPr>
              <w:t>2</w:t>
            </w:r>
            <w:r>
              <w:rPr/>
              <w:t>N</w:t>
            </w:r>
            <w:r>
              <w:rPr>
                <w:position w:val="-5"/>
                <w:sz w:val="19"/>
              </w:rPr>
              <w:t>2</w:t>
            </w:r>
            <w:r>
              <w:rPr>
                <w:vertAlign w:val="superscript"/>
              </w:rPr>
              <w:t>+</w:t>
            </w:r>
            <w:r>
              <w:rPr/>
              <w:t xml:space="preserve"> = s-NH</w:t>
            </w:r>
            <w:r>
              <w:rPr>
                <w:position w:val="-5"/>
                <w:sz w:val="19"/>
              </w:rPr>
              <w:t>2</w:t>
            </w:r>
            <w:r>
              <w:rPr>
                <w:vertAlign w:val="superscript"/>
              </w:rPr>
              <w:t>+</w:t>
            </w:r>
            <w:r>
              <w:rPr/>
              <w:t xml:space="preserve"> + s-N</w:t>
            </w:r>
            <w:r>
              <w:rPr>
                <w:position w:val="-5"/>
                <w:sz w:val="19"/>
              </w:rPr>
              <w:t>2</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369.89</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310.51</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349.26</w:t>
            </w:r>
          </w:p>
        </w:tc>
        <w:tc>
          <w:tcPr>
            <w:tcW w:w="18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38.78</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s-NH</w:t>
            </w:r>
            <w:r>
              <w:rPr>
                <w:position w:val="-5"/>
                <w:sz w:val="19"/>
              </w:rPr>
              <w:t>2</w:t>
            </w:r>
            <w:r>
              <w:rPr/>
              <w:t>N</w:t>
            </w:r>
            <w:r>
              <w:rPr>
                <w:position w:val="-5"/>
                <w:sz w:val="19"/>
              </w:rPr>
              <w:t>2</w:t>
            </w:r>
            <w:r>
              <w:rPr>
                <w:vertAlign w:val="superscript"/>
              </w:rPr>
              <w:t>+</w:t>
            </w:r>
            <w:r>
              <w:rPr/>
              <w:t xml:space="preserve"> = t-NH</w:t>
            </w:r>
            <w:r>
              <w:rPr>
                <w:position w:val="-5"/>
                <w:sz w:val="19"/>
              </w:rPr>
              <w:t>2</w:t>
            </w:r>
            <w:r>
              <w:rPr>
                <w:vertAlign w:val="superscript"/>
              </w:rPr>
              <w:t>+</w:t>
            </w:r>
            <w:r>
              <w:rPr/>
              <w:t xml:space="preserve"> + s-N</w:t>
            </w:r>
            <w:r>
              <w:rPr>
                <w:position w:val="-5"/>
                <w:sz w:val="19"/>
              </w:rPr>
              <w:t>2</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234.16</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171.93</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211.72</w:t>
            </w:r>
          </w:p>
        </w:tc>
        <w:tc>
          <w:tcPr>
            <w:tcW w:w="18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39.82</w:t>
            </w:r>
          </w:p>
        </w:tc>
      </w:tr>
      <w:tr>
        <w:trPr/>
        <w:tc>
          <w:tcPr>
            <w:tcW w:w="35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s-NH</w:t>
            </w:r>
            <w:r>
              <w:rPr>
                <w:position w:val="-5"/>
                <w:sz w:val="19"/>
              </w:rPr>
              <w:t>2</w:t>
            </w:r>
            <w:r>
              <w:rPr/>
              <w:t>N</w:t>
            </w:r>
            <w:r>
              <w:rPr>
                <w:position w:val="-5"/>
                <w:sz w:val="19"/>
              </w:rPr>
              <w:t>2</w:t>
            </w:r>
            <w:r>
              <w:rPr>
                <w:vertAlign w:val="superscript"/>
              </w:rPr>
              <w:t>+</w:t>
            </w:r>
            <w:r>
              <w:rPr/>
              <w:t xml:space="preserve"> = d-NH</w:t>
            </w:r>
            <w:r>
              <w:rPr>
                <w:position w:val="-5"/>
                <w:sz w:val="19"/>
              </w:rPr>
              <w:t>2</w:t>
            </w:r>
            <w:r>
              <w:rPr/>
              <w:t xml:space="preserve"> + d-N</w:t>
            </w:r>
            <w:r>
              <w:rPr>
                <w:position w:val="-5"/>
                <w:sz w:val="19"/>
              </w:rPr>
              <w:t>2</w:t>
            </w:r>
            <w:r>
              <w:rPr>
                <w:vertAlign w:val="superscript"/>
              </w:rPr>
              <w:t>+</w:t>
            </w:r>
          </w:p>
        </w:tc>
        <w:tc>
          <w:tcPr>
            <w:tcW w:w="17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663.78</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603.88</w:t>
            </w:r>
          </w:p>
        </w:tc>
        <w:tc>
          <w:tcPr>
            <w:tcW w:w="1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21"/>
              <w:jc w:val="center"/>
              <w:rPr/>
            </w:pPr>
            <w:r>
              <w:rPr/>
              <w:t>645.97</w:t>
            </w:r>
          </w:p>
        </w:tc>
        <w:tc>
          <w:tcPr>
            <w:tcW w:w="18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t>42.11</w:t>
            </w:r>
          </w:p>
        </w:tc>
      </w:tr>
    </w:tbl>
    <w:p>
      <w:pPr>
        <w:pStyle w:val="Normal"/>
        <w:rPr/>
      </w:pPr>
      <w:r>
        <w:rPr/>
      </w:r>
    </w:p>
    <w:p>
      <w:pPr>
        <w:pStyle w:val="Normal"/>
        <w:widowControl/>
        <w:overflowPunct w:val="true"/>
        <w:bidi w:val="0"/>
        <w:ind w:left="0" w:right="0" w:firstLine="567"/>
        <w:jc w:val="left"/>
        <w:rPr/>
      </w:pPr>
      <w:r>
        <w:rPr/>
        <w:t>На основе данных таблицы 1 и 2 можно сделать вывод, что при распаде NH</w:t>
      </w:r>
      <w:r>
        <w:rPr>
          <w:vertAlign w:val="subscript"/>
        </w:rPr>
        <w:t>2</w:t>
      </w:r>
      <w:r>
        <w:rPr/>
        <w:t>N</w:t>
      </w:r>
      <w:r>
        <w:rPr>
          <w:vertAlign w:val="subscript"/>
        </w:rPr>
        <w:t>2</w:t>
      </w:r>
      <w:r>
        <w:rPr>
          <w:vertAlign w:val="superscript"/>
        </w:rPr>
        <w:t>+</w:t>
      </w:r>
      <w:r>
        <w:rPr/>
        <w:t xml:space="preserve"> наиболее вероятными продуктами будут частицы NH</w:t>
      </w:r>
      <w:r>
        <w:rPr>
          <w:vertAlign w:val="subscript"/>
        </w:rPr>
        <w:t>2</w:t>
      </w:r>
      <w:r>
        <w:rPr>
          <w:vertAlign w:val="superscript"/>
        </w:rPr>
        <w:t>+</w:t>
      </w:r>
      <w:r>
        <w:rPr>
          <w:position w:val="0"/>
          <w:sz w:val="24"/>
          <w:sz w:val="24"/>
          <w:vertAlign w:val="baseline"/>
        </w:rPr>
        <w:t xml:space="preserve"> и молекулярный азот</w:t>
      </w:r>
      <w:r>
        <w:rPr/>
        <w:t>.</w:t>
      </w:r>
    </w:p>
    <w:p>
      <w:pPr>
        <w:pStyle w:val="Normal"/>
        <w:widowControl/>
        <w:overflowPunct w:val="true"/>
        <w:bidi w:val="0"/>
        <w:ind w:left="0" w:right="0" w:firstLine="567"/>
        <w:jc w:val="left"/>
        <w:rPr/>
      </w:pPr>
      <w:r>
        <w:rPr/>
      </w:r>
    </w:p>
    <w:p>
      <w:pPr>
        <w:pStyle w:val="Normal"/>
        <w:widowControl/>
        <w:overflowPunct w:val="true"/>
        <w:bidi w:val="0"/>
        <w:ind w:left="0" w:right="0" w:firstLine="567"/>
        <w:jc w:val="left"/>
        <w:rPr/>
      </w:pPr>
      <w:r>
        <w:rPr/>
      </w:r>
    </w:p>
    <w:p>
      <w:pPr>
        <w:pStyle w:val="Normal"/>
        <w:widowControl/>
        <w:overflowPunct w:val="true"/>
        <w:bidi w:val="0"/>
        <w:ind w:left="0" w:right="0" w:firstLine="567"/>
        <w:jc w:val="both"/>
        <w:rPr>
          <w:b/>
          <w:b/>
          <w:bCs/>
        </w:rPr>
      </w:pPr>
      <w:r>
        <w:rPr>
          <w:b/>
          <w:bCs/>
        </w:rPr>
        <w:t>Методика расчета энергетических диаграмм динамики молекулярных орбиталей</w:t>
      </w:r>
    </w:p>
    <w:p>
      <w:pPr>
        <w:pStyle w:val="Normal"/>
        <w:widowControl/>
        <w:overflowPunct w:val="true"/>
        <w:bidi w:val="0"/>
        <w:ind w:left="0" w:right="0" w:firstLine="567"/>
        <w:jc w:val="both"/>
        <w:rPr/>
      </w:pPr>
      <w:r>
        <w:rPr/>
        <w:t xml:space="preserve">Сначала мы рассчитывали скан поверхности потенциальной энергии СППЭ при увеличении дистанции  </w:t>
      </w:r>
      <w:r>
        <w:rPr>
          <w:b w:val="false"/>
          <w:bCs w:val="false"/>
        </w:rPr>
        <w:t>NH</w:t>
      </w:r>
      <w:r>
        <w:rPr>
          <w:b w:val="false"/>
          <w:bCs w:val="false"/>
          <w:vertAlign w:val="subscript"/>
        </w:rPr>
        <w:t>2</w:t>
      </w:r>
      <w:r>
        <w:rPr>
          <w:b w:val="false"/>
          <w:bCs w:val="false"/>
        </w:rPr>
        <w:t>—N</w:t>
      </w:r>
      <w:r>
        <w:rPr>
          <w:b w:val="false"/>
          <w:bCs w:val="false"/>
          <w:vertAlign w:val="subscript"/>
        </w:rPr>
        <w:t>2</w:t>
      </w:r>
      <w:r>
        <w:rPr/>
        <w:t xml:space="preserve"> от 0.900 </w:t>
      </w:r>
      <w:r>
        <w:rPr>
          <w:rFonts w:eastAsia="Noto Sans CJK SC DemiLight" w:cs="FreeSans"/>
          <w:b w:val="false"/>
          <w:bCs w:val="false"/>
        </w:rPr>
        <w:t>Å</w:t>
      </w:r>
      <w:r>
        <w:rPr/>
        <w:t xml:space="preserve"> до 16.9 </w:t>
      </w:r>
      <w:r>
        <w:rPr>
          <w:rFonts w:eastAsia="Noto Sans CJK SC DemiLight" w:cs="FreeSans"/>
          <w:b w:val="false"/>
          <w:bCs w:val="false"/>
        </w:rPr>
        <w:t>Å</w:t>
      </w:r>
      <w:r>
        <w:rPr/>
        <w:t xml:space="preserve"> с высоким разрешением 800 точек (0.02 </w:t>
      </w:r>
      <w:r>
        <w:rPr>
          <w:rFonts w:eastAsia="Noto Sans CJK SC DemiLight" w:cs="FreeSans"/>
          <w:b w:val="false"/>
          <w:bCs w:val="false"/>
        </w:rPr>
        <w:t>Å</w:t>
      </w:r>
      <w:r>
        <w:rPr/>
        <w:t xml:space="preserve">). Расчет производился с помощью программного комплекса ORCA 3.0.2 методом DFT B3LYP в базисе aug-cc-pVDZ в синглетном состоянии. Выходные данные программного комплекса содержат оптимизированные структурные параметры, значения энергий и волновые функции всех молекулярных орбиталей (МО) в каждой точке исследуемого СППЭ. </w:t>
      </w:r>
    </w:p>
    <w:p>
      <w:pPr>
        <w:pStyle w:val="Normal"/>
        <w:widowControl/>
        <w:overflowPunct w:val="true"/>
        <w:bidi w:val="0"/>
        <w:ind w:left="0" w:right="0" w:firstLine="567"/>
        <w:jc w:val="both"/>
        <w:rPr/>
      </w:pPr>
      <w:r>
        <w:rPr/>
        <w:t xml:space="preserve">По полученным данным построены зависимости энергии всех МО в процессе отщепления азота, можно заметить, что все эти кривые носят непрерывный характер и позволяют проследить энергию каждой МО в динамике при увеличении дистанции </w:t>
      </w:r>
      <w:r>
        <w:rPr>
          <w:b w:val="false"/>
          <w:bCs w:val="false"/>
        </w:rPr>
        <w:t>d(NH</w:t>
      </w:r>
      <w:r>
        <w:rPr>
          <w:b w:val="false"/>
          <w:bCs w:val="false"/>
          <w:vertAlign w:val="subscript"/>
        </w:rPr>
        <w:t>2</w:t>
      </w:r>
      <w:r>
        <w:rPr>
          <w:b w:val="false"/>
          <w:bCs w:val="false"/>
        </w:rPr>
        <w:t>—N</w:t>
      </w:r>
      <w:r>
        <w:rPr>
          <w:b w:val="false"/>
          <w:bCs w:val="false"/>
          <w:vertAlign w:val="subscript"/>
        </w:rPr>
        <w:t>2</w:t>
      </w:r>
      <w:r>
        <w:rPr>
          <w:b w:val="false"/>
          <w:bCs w:val="false"/>
        </w:rPr>
        <w:t>)</w:t>
      </w:r>
      <w:r>
        <w:rPr/>
        <w:t>, вплоть до полного распада с образованием свободных частиц, при этом орбитали исходного катиона трансформируются в орбитали образующихся продуктов распада. Количество орбиталей в исходной молекулярной системе в точности соответствует суммарному количеству орбиталей образующихся фрагментов. Такая процедура отслеживания (трассировки / tracing) МО позволяет выявить, какие орбитали молекулярного азота и катиона NH</w:t>
      </w:r>
      <w:r>
        <w:rPr>
          <w:vertAlign w:val="subscript"/>
        </w:rPr>
        <w:t>2</w:t>
      </w:r>
      <w:r>
        <w:rPr>
          <w:vertAlign w:val="superscript"/>
        </w:rPr>
        <w:t>+</w:t>
      </w:r>
      <w:r>
        <w:rPr>
          <w:position w:val="0"/>
          <w:sz w:val="24"/>
          <w:sz w:val="24"/>
          <w:vertAlign w:val="baseline"/>
        </w:rPr>
        <w:t xml:space="preserve"> </w:t>
      </w:r>
      <w:r>
        <w:rPr/>
        <w:t>становятся молекулярными орбиталями частицы NH</w:t>
      </w:r>
      <w:r>
        <w:rPr>
          <w:vertAlign w:val="subscript"/>
        </w:rPr>
        <w:t>2</w:t>
      </w:r>
      <w:r>
        <w:rPr/>
        <w:t>N</w:t>
      </w:r>
      <w:r>
        <w:rPr>
          <w:vertAlign w:val="subscript"/>
        </w:rPr>
        <w:t>2</w:t>
      </w:r>
      <w:r>
        <w:rPr>
          <w:vertAlign w:val="superscript"/>
        </w:rPr>
        <w:t>+</w:t>
      </w:r>
      <w:r>
        <w:rPr/>
        <w:t>.</w:t>
      </w:r>
    </w:p>
    <w:p>
      <w:pPr>
        <w:pStyle w:val="Normal"/>
        <w:widowControl/>
        <w:overflowPunct w:val="true"/>
        <w:bidi w:val="0"/>
        <w:ind w:left="0" w:right="0" w:firstLine="567"/>
        <w:jc w:val="both"/>
        <w:rPr/>
      </w:pPr>
      <w:r>
        <w:rPr/>
        <w:t>При трансформации (transformation) МО они меняют свою энергию и пространственное строение, однако в большинстве случаев сохраняют свою симметрию. Некоторую сложность для процедуры трассировки представляют точки пересечения графиков МО, где происходит вырождение этих МО по энергии (однако они сильно различаются по распределению электронной плотности), соответственно требуются критерии для выявления соответствия однотипных МО, для этого применяется математический прием экстраполирования энергетических кривых. Для дополнительного контроля в точках пересечения, применяется более надежный (но ресурсно-затратный) метод сравнения пространственного распределения электронной плотности (ЭП), (данные содержатся в Gaussia Cube File). При сравнении пространственного соотвествия рассчитывается среднеквадратичное отклонение  в  пространственном распределении электронной плотности между соседними точками СППЭ. Для выполнения процедуры трассировки и сравнения пространственного распределения ЭП было написано программное обеспечение исходные тексты которого находятся в приложении (Supporting information).</w:t>
      </w:r>
    </w:p>
    <w:p>
      <w:pPr>
        <w:pStyle w:val="Normal"/>
        <w:widowControl/>
        <w:overflowPunct w:val="true"/>
        <w:bidi w:val="0"/>
        <w:ind w:left="0" w:right="0" w:firstLine="567"/>
        <w:jc w:val="both"/>
        <w:rPr/>
      </w:pPr>
      <w:r>
        <w:rPr/>
        <w:t>Процедура выявления соответствия МО исходной частицы и продуктов распада позволяет построить энергетическую диаграмму перехода МО и рассчитать вклад каждой орбитали и вклад каждой частицы N</w:t>
      </w:r>
      <w:r>
        <w:rPr>
          <w:vertAlign w:val="subscript"/>
        </w:rPr>
        <w:t>2</w:t>
      </w:r>
      <w:r>
        <w:rPr/>
        <w:t xml:space="preserve"> и NH</w:t>
      </w:r>
      <w:r>
        <w:rPr>
          <w:vertAlign w:val="subscript"/>
        </w:rPr>
        <w:t>2</w:t>
      </w:r>
      <w:r>
        <w:rPr>
          <w:vertAlign w:val="superscript"/>
        </w:rPr>
        <w:t>+</w:t>
      </w:r>
      <w:r>
        <w:rPr/>
        <w:t xml:space="preserve"> в образование катиона NH</w:t>
      </w:r>
      <w:r>
        <w:rPr>
          <w:vertAlign w:val="subscript"/>
        </w:rPr>
        <w:t>2</w:t>
      </w:r>
      <w:r>
        <w:rPr/>
        <w:t>N</w:t>
      </w:r>
      <w:r>
        <w:rPr>
          <w:vertAlign w:val="subscript"/>
        </w:rPr>
        <w:t>2</w:t>
      </w:r>
      <w:r>
        <w:rPr>
          <w:vertAlign w:val="superscript"/>
        </w:rPr>
        <w:t>+</w:t>
      </w:r>
      <w:r>
        <w:rPr/>
        <w:t>.</w:t>
      </w:r>
    </w:p>
    <w:p>
      <w:pPr>
        <w:pStyle w:val="Normal"/>
        <w:rPr/>
      </w:pPr>
      <w:r>
        <w:rPr/>
      </w:r>
    </w:p>
    <w:p>
      <w:pPr>
        <w:pStyle w:val="Normal"/>
        <w:rPr/>
      </w:pPr>
      <w:r>
        <w:rPr/>
      </w:r>
    </w:p>
    <w:sectPr>
      <w:footerReference w:type="default" r:id="rId2"/>
      <w:type w:val="nextPage"/>
      <w:pgSz w:w="11906" w:h="16838"/>
      <w:pgMar w:left="567" w:right="567" w:header="0" w:top="567" w:footer="567" w:bottom="112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tandard Symbols 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pP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DemiLight" w:cs="FreeSans"/>
      <w:color w:val="00000A"/>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Noto Sans CJK SC DemiLight"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Footer"/>
    <w:basedOn w:val="Normal"/>
    <w:pPr>
      <w:suppressLineNumbers/>
      <w:tabs>
        <w:tab w:val="center" w:pos="7852" w:leader="none"/>
        <w:tab w:val="right" w:pos="15704" w:leader="none"/>
      </w:tabs>
    </w:pPr>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699</TotalTime>
  <Application>LibreOffice/5.2.7.2$Linux_X86_64 LibreOffice_project/20m0$Build-2</Application>
  <Pages>2</Pages>
  <Words>444</Words>
  <Characters>2891</Characters>
  <CharactersWithSpaces>3257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2018-04-20T08:52:24Z</dcterms:created>
  <dc:creator/>
  <dc:description/>
  <dc:language>ru-RU</dc:language>
  <cp:lastModifiedBy>Александр Александрович Бондарев</cp:lastModifiedBy>
  <dcterms:modified xsi:type="dcterms:W3CDTF">2018-10-01T16:31:26Z</dcterms:modified>
  <cp:revision>128</cp:revision>
  <dc:subject/>
  <dc:title/>
</cp:coreProperties>
</file>