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drawing>
          <wp:inline distT="0" distB="0" distL="0" distR="0">
            <wp:extent cx="6825615" cy="4110355"/>
            <wp:effectExtent l="0" t="0" r="0" b="0"/>
            <wp:docPr id="1"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2" descr=""/>
                    <pic:cNvPicPr>
                      <a:picLocks noChangeAspect="1" noChangeArrowheads="1"/>
                    </pic:cNvPicPr>
                  </pic:nvPicPr>
                  <pic:blipFill>
                    <a:blip r:embed="rId2"/>
                    <a:stretch>
                      <a:fillRect/>
                    </a:stretch>
                  </pic:blipFill>
                  <pic:spPr bwMode="auto">
                    <a:xfrm>
                      <a:off x="0" y="0"/>
                      <a:ext cx="6825615" cy="4110355"/>
                    </a:xfrm>
                    <a:prstGeom prst="rect">
                      <a:avLst/>
                    </a:prstGeom>
                  </pic:spPr>
                </pic:pic>
              </a:graphicData>
            </a:graphic>
          </wp:inline>
        </w:drawing>
      </w:r>
    </w:p>
    <w:p>
      <w:pPr>
        <w:pStyle w:val="Normal"/>
        <w:jc w:val="center"/>
        <w:rPr/>
      </w:pPr>
      <w:r>
        <w:rPr>
          <w:sz w:val="26"/>
          <w:szCs w:val="26"/>
        </w:rPr>
        <w:t xml:space="preserve">Рис. </w:t>
      </w:r>
      <w:r>
        <w:rPr>
          <w:sz w:val="26"/>
          <w:szCs w:val="26"/>
        </w:rPr>
        <w:t>1</w:t>
      </w:r>
      <w:r>
        <w:rPr>
          <w:sz w:val="26"/>
          <w:szCs w:val="26"/>
        </w:rPr>
        <w:t>. Трассировка молекулярных орбиталей NH</w:t>
      </w:r>
      <w:r>
        <w:rPr>
          <w:sz w:val="26"/>
          <w:szCs w:val="26"/>
          <w:vertAlign w:val="subscript"/>
        </w:rPr>
        <w:t>2</w:t>
      </w:r>
      <w:r>
        <w:rPr>
          <w:sz w:val="26"/>
          <w:szCs w:val="26"/>
        </w:rPr>
        <w:t>N</w:t>
      </w:r>
      <w:r>
        <w:rPr>
          <w:sz w:val="26"/>
          <w:szCs w:val="26"/>
          <w:vertAlign w:val="subscript"/>
        </w:rPr>
        <w:t>2</w:t>
      </w:r>
      <w:r>
        <w:rPr>
          <w:sz w:val="26"/>
          <w:szCs w:val="26"/>
          <w:vertAlign w:val="superscript"/>
        </w:rPr>
        <w:t>+</w:t>
      </w:r>
      <w:r>
        <w:rPr>
          <w:sz w:val="26"/>
          <w:szCs w:val="26"/>
        </w:rPr>
        <w:t xml:space="preserve">. </w:t>
      </w:r>
    </w:p>
    <w:p>
      <w:pPr>
        <w:pStyle w:val="Normal"/>
        <w:widowControl/>
        <w:overflowPunct w:val="false"/>
        <w:bidi w:val="0"/>
        <w:ind w:left="0" w:right="0" w:firstLine="567"/>
        <w:jc w:val="both"/>
        <w:rPr>
          <w:b w:val="false"/>
          <w:b w:val="false"/>
          <w:bCs w:val="false"/>
          <w:i w:val="false"/>
          <w:i w:val="false"/>
          <w:iCs w:val="false"/>
        </w:rPr>
      </w:pPr>
      <w:r>
        <w:rPr>
          <w:b w:val="false"/>
          <w:bCs w:val="false"/>
          <w:i w:val="false"/>
          <w:iCs w:val="false"/>
        </w:rPr>
        <w:t>При сканировании энергии, с учетом пространственного подобия МО, можно определить что заполненные орбитали молекулярного азота трансформируются в орбитали № 1, 3, 4, 6, 9, 10, 11 катиона NH</w:t>
      </w:r>
      <w:r>
        <w:rPr>
          <w:b w:val="false"/>
          <w:bCs w:val="false"/>
          <w:i w:val="false"/>
          <w:iCs w:val="false"/>
          <w:vertAlign w:val="subscript"/>
        </w:rPr>
        <w:t>2</w:t>
      </w:r>
      <w:r>
        <w:rPr>
          <w:b w:val="false"/>
          <w:bCs w:val="false"/>
          <w:i w:val="false"/>
          <w:iCs w:val="false"/>
        </w:rPr>
        <w:t>N</w:t>
      </w:r>
      <w:r>
        <w:rPr>
          <w:b w:val="false"/>
          <w:bCs w:val="false"/>
          <w:i w:val="false"/>
          <w:iCs w:val="false"/>
          <w:vertAlign w:val="subscript"/>
        </w:rPr>
        <w:t>2</w:t>
      </w:r>
      <w:r>
        <w:rPr>
          <w:b w:val="false"/>
          <w:bCs w:val="false"/>
          <w:i w:val="false"/>
          <w:iCs w:val="false"/>
          <w:vertAlign w:val="superscript"/>
        </w:rPr>
        <w:t>+</w:t>
      </w:r>
      <w:r>
        <w:rPr>
          <w:b w:val="false"/>
          <w:bCs w:val="false"/>
          <w:i w:val="false"/>
          <w:iCs w:val="false"/>
        </w:rPr>
        <w:t>.</w:t>
      </w:r>
    </w:p>
    <w:p>
      <w:pPr>
        <w:pStyle w:val="Normal"/>
        <w:widowControl/>
        <w:overflowPunct w:val="false"/>
        <w:bidi w:val="0"/>
        <w:ind w:left="0" w:right="0" w:firstLine="567"/>
        <w:jc w:val="center"/>
        <w:rPr>
          <w:b w:val="false"/>
          <w:b w:val="false"/>
          <w:bCs w:val="false"/>
          <w:i w:val="false"/>
          <w:i w:val="false"/>
          <w:iCs w:val="false"/>
        </w:rPr>
      </w:pPr>
      <w:r>
        <w:rPr>
          <w:b w:val="false"/>
          <w:bCs w:val="false"/>
          <w:i w:val="false"/>
          <w:iCs w:val="false"/>
          <w:sz w:val="26"/>
          <w:szCs w:val="26"/>
        </w:rPr>
        <w:drawing>
          <wp:inline distT="0" distB="0" distL="0" distR="0">
            <wp:extent cx="4506595" cy="4570730"/>
            <wp:effectExtent l="0" t="0" r="0" b="0"/>
            <wp:docPr id="2"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4" descr=""/>
                    <pic:cNvPicPr>
                      <a:picLocks noChangeAspect="1" noChangeArrowheads="1"/>
                    </pic:cNvPicPr>
                  </pic:nvPicPr>
                  <pic:blipFill>
                    <a:blip r:embed="rId3"/>
                    <a:stretch>
                      <a:fillRect/>
                    </a:stretch>
                  </pic:blipFill>
                  <pic:spPr bwMode="auto">
                    <a:xfrm>
                      <a:off x="0" y="0"/>
                      <a:ext cx="4506595" cy="4570730"/>
                    </a:xfrm>
                    <a:prstGeom prst="rect">
                      <a:avLst/>
                    </a:prstGeom>
                  </pic:spPr>
                </pic:pic>
              </a:graphicData>
            </a:graphic>
          </wp:inline>
        </w:drawing>
      </w:r>
    </w:p>
    <w:p>
      <w:pPr>
        <w:pStyle w:val="Normal"/>
        <w:widowControl/>
        <w:overflowPunct w:val="false"/>
        <w:bidi w:val="0"/>
        <w:ind w:left="0" w:right="0" w:firstLine="567"/>
        <w:jc w:val="center"/>
        <w:rPr>
          <w:b w:val="false"/>
          <w:b w:val="false"/>
          <w:bCs w:val="false"/>
          <w:i w:val="false"/>
          <w:i w:val="false"/>
          <w:iCs w:val="false"/>
        </w:rPr>
      </w:pPr>
      <w:r>
        <w:rPr>
          <w:b w:val="false"/>
          <w:bCs w:val="false"/>
          <w:i w:val="false"/>
          <w:iCs w:val="false"/>
          <w:sz w:val="26"/>
          <w:szCs w:val="26"/>
        </w:rPr>
        <w:t xml:space="preserve">Рис. </w:t>
      </w:r>
      <w:r>
        <w:rPr>
          <w:b w:val="false"/>
          <w:bCs w:val="false"/>
          <w:i w:val="false"/>
          <w:iCs w:val="false"/>
          <w:sz w:val="26"/>
          <w:szCs w:val="26"/>
        </w:rPr>
        <w:t>2</w:t>
      </w:r>
      <w:r>
        <w:rPr>
          <w:b w:val="false"/>
          <w:bCs w:val="false"/>
          <w:i w:val="false"/>
          <w:iCs w:val="false"/>
          <w:sz w:val="26"/>
          <w:szCs w:val="26"/>
        </w:rPr>
        <w:t>. Энергетическая диаграмма молекулярных орбиталей при взаимодействии N</w:t>
      </w:r>
      <w:r>
        <w:rPr>
          <w:b w:val="false"/>
          <w:bCs w:val="false"/>
          <w:i w:val="false"/>
          <w:iCs w:val="false"/>
          <w:sz w:val="26"/>
          <w:szCs w:val="26"/>
          <w:vertAlign w:val="subscript"/>
        </w:rPr>
        <w:t>2</w:t>
      </w:r>
      <w:r>
        <w:rPr>
          <w:b w:val="false"/>
          <w:bCs w:val="false"/>
          <w:i w:val="false"/>
          <w:iCs w:val="false"/>
          <w:sz w:val="26"/>
          <w:szCs w:val="26"/>
        </w:rPr>
        <w:t xml:space="preserve"> и NH</w:t>
      </w:r>
      <w:r>
        <w:rPr>
          <w:b w:val="false"/>
          <w:bCs w:val="false"/>
          <w:i w:val="false"/>
          <w:iCs w:val="false"/>
          <w:sz w:val="26"/>
          <w:szCs w:val="26"/>
          <w:vertAlign w:val="subscript"/>
        </w:rPr>
        <w:t>2</w:t>
      </w:r>
      <w:r>
        <w:rPr>
          <w:b w:val="false"/>
          <w:bCs w:val="false"/>
          <w:i w:val="false"/>
          <w:iCs w:val="false"/>
          <w:sz w:val="26"/>
          <w:szCs w:val="26"/>
          <w:vertAlign w:val="superscript"/>
        </w:rPr>
        <w:t>+</w:t>
      </w:r>
      <w:r>
        <w:rPr>
          <w:b w:val="false"/>
          <w:bCs w:val="false"/>
          <w:i w:val="false"/>
          <w:iCs w:val="false"/>
          <w:sz w:val="26"/>
          <w:szCs w:val="26"/>
        </w:rPr>
        <w:t xml:space="preserve"> c образованием NH</w:t>
      </w:r>
      <w:r>
        <w:rPr>
          <w:b w:val="false"/>
          <w:bCs w:val="false"/>
          <w:i w:val="false"/>
          <w:iCs w:val="false"/>
          <w:sz w:val="26"/>
          <w:szCs w:val="26"/>
          <w:vertAlign w:val="subscript"/>
        </w:rPr>
        <w:t>2</w:t>
      </w:r>
      <w:r>
        <w:rPr>
          <w:b w:val="false"/>
          <w:bCs w:val="false"/>
          <w:i w:val="false"/>
          <w:iCs w:val="false"/>
          <w:sz w:val="26"/>
          <w:szCs w:val="26"/>
        </w:rPr>
        <w:t>N</w:t>
      </w:r>
      <w:r>
        <w:rPr>
          <w:b w:val="false"/>
          <w:bCs w:val="false"/>
          <w:i w:val="false"/>
          <w:iCs w:val="false"/>
          <w:sz w:val="26"/>
          <w:szCs w:val="26"/>
          <w:vertAlign w:val="subscript"/>
        </w:rPr>
        <w:t>2</w:t>
      </w:r>
      <w:r>
        <w:rPr>
          <w:b w:val="false"/>
          <w:bCs w:val="false"/>
          <w:i w:val="false"/>
          <w:iCs w:val="false"/>
          <w:sz w:val="26"/>
          <w:szCs w:val="26"/>
          <w:vertAlign w:val="superscript"/>
        </w:rPr>
        <w:t>+</w:t>
      </w:r>
      <w:r>
        <w:rPr>
          <w:b w:val="false"/>
          <w:bCs w:val="false"/>
          <w:i w:val="false"/>
          <w:iCs w:val="false"/>
          <w:sz w:val="26"/>
          <w:szCs w:val="26"/>
        </w:rPr>
        <w:t xml:space="preserve">. </w:t>
      </w:r>
    </w:p>
    <w:p>
      <w:pPr>
        <w:pStyle w:val="Normal"/>
        <w:jc w:val="right"/>
        <w:rPr/>
      </w:pPr>
      <w:r>
        <w:rPr/>
      </w:r>
    </w:p>
    <w:p>
      <w:pPr>
        <w:pStyle w:val="Normal"/>
        <w:jc w:val="right"/>
        <w:rPr/>
      </w:pPr>
      <w:r>
        <w:rPr/>
        <w:t>Таблица 1.</w:t>
      </w:r>
    </w:p>
    <w:p>
      <w:pPr>
        <w:pStyle w:val="Normal"/>
        <w:jc w:val="center"/>
        <w:rPr/>
      </w:pPr>
      <w:r>
        <w:rPr/>
        <w:t>Трансформация молекулярных орбиталей</w:t>
      </w:r>
      <w:r>
        <w:rPr/>
        <w:t xml:space="preserve"> в системе [NH</w:t>
      </w:r>
      <w:r>
        <w:rPr>
          <w:vertAlign w:val="subscript"/>
        </w:rPr>
        <w:t>2</w:t>
      </w:r>
      <w:r>
        <w:rPr>
          <w:position w:val="0"/>
          <w:sz w:val="24"/>
          <w:sz w:val="24"/>
          <w:vertAlign w:val="baseline"/>
        </w:rPr>
        <w:t xml:space="preserve"> </w:t>
      </w:r>
      <w:r>
        <w:rPr/>
        <w:t>+ N</w:t>
      </w:r>
      <w:r>
        <w:rPr>
          <w:vertAlign w:val="subscript"/>
        </w:rPr>
        <w:t>2</w:t>
      </w:r>
      <w:r>
        <w:rPr/>
        <w:t>]</w:t>
      </w:r>
      <w:r>
        <w:rPr>
          <w:vertAlign w:val="superscript"/>
        </w:rPr>
        <w:t>+</w:t>
      </w:r>
    </w:p>
    <w:tbl>
      <w:tblPr>
        <w:tblW w:w="10772"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960"/>
        <w:gridCol w:w="1245"/>
        <w:gridCol w:w="1305"/>
        <w:gridCol w:w="1710"/>
        <w:gridCol w:w="1470"/>
        <w:gridCol w:w="1410"/>
        <w:gridCol w:w="1365"/>
        <w:gridCol w:w="1307"/>
      </w:tblGrid>
      <w:tr>
        <w:trPr/>
        <w:tc>
          <w:tcPr>
            <w:tcW w:w="10772" w:type="dxa"/>
            <w:gridSpan w:val="8"/>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center"/>
              <w:rPr>
                <w:sz w:val="22"/>
                <w:szCs w:val="22"/>
              </w:rPr>
            </w:pPr>
            <w:r>
              <w:rPr>
                <w:b/>
                <w:sz w:val="22"/>
                <w:szCs w:val="22"/>
              </w:rPr>
              <w:t>Occupied molecular orbitals</w:t>
            </w:r>
          </w:p>
        </w:tc>
      </w:tr>
      <w:tr>
        <w:trPr/>
        <w:tc>
          <w:tcPr>
            <w:tcW w:w="9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center"/>
              <w:rPr>
                <w:sz w:val="22"/>
                <w:szCs w:val="22"/>
              </w:rPr>
            </w:pPr>
            <w:r>
              <w:rPr>
                <w:sz w:val="22"/>
                <w:szCs w:val="22"/>
              </w:rPr>
              <w:t xml:space="preserve">№ </w:t>
            </w:r>
            <w:r>
              <w:rPr>
                <w:b/>
                <w:sz w:val="22"/>
                <w:szCs w:val="22"/>
              </w:rPr>
              <w:t>MO</w:t>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center"/>
              <w:rPr>
                <w:sz w:val="22"/>
                <w:szCs w:val="22"/>
              </w:rPr>
            </w:pPr>
            <w:r>
              <w:rPr>
                <w:b/>
                <w:sz w:val="22"/>
                <w:szCs w:val="22"/>
              </w:rPr>
              <w:t>E</w:t>
            </w:r>
            <w:r>
              <w:rPr>
                <w:b/>
                <w:sz w:val="22"/>
                <w:szCs w:val="22"/>
                <w:vertAlign w:val="subscript"/>
              </w:rPr>
              <w:t xml:space="preserve">MO </w:t>
            </w:r>
            <w:r>
              <w:rPr>
                <w:b/>
                <w:sz w:val="22"/>
                <w:szCs w:val="22"/>
              </w:rPr>
              <w:t>(</w:t>
            </w:r>
            <w:r>
              <w:rPr>
                <w:b/>
                <w:sz w:val="22"/>
                <w:szCs w:val="22"/>
              </w:rPr>
              <w:t>N</w:t>
            </w:r>
            <w:r>
              <w:rPr>
                <w:b/>
                <w:sz w:val="22"/>
                <w:szCs w:val="22"/>
                <w:vertAlign w:val="subscript"/>
              </w:rPr>
              <w:t>2</w:t>
            </w:r>
            <w:r>
              <w:rPr>
                <w:b/>
                <w:position w:val="0"/>
                <w:sz w:val="22"/>
                <w:sz w:val="22"/>
                <w:szCs w:val="22"/>
                <w:vertAlign w:val="baseline"/>
              </w:rPr>
              <w:t>), Hartree</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center"/>
              <w:rPr>
                <w:sz w:val="22"/>
                <w:szCs w:val="22"/>
              </w:rPr>
            </w:pPr>
            <w:r>
              <w:rPr>
                <w:b/>
                <w:sz w:val="22"/>
                <w:szCs w:val="22"/>
              </w:rPr>
              <w:t>E</w:t>
            </w:r>
            <w:r>
              <w:rPr>
                <w:b/>
                <w:sz w:val="22"/>
                <w:szCs w:val="22"/>
                <w:vertAlign w:val="subscript"/>
              </w:rPr>
              <w:t>MO</w:t>
            </w:r>
            <w:r>
              <w:rPr>
                <w:b/>
                <w:sz w:val="22"/>
                <w:szCs w:val="22"/>
              </w:rPr>
              <w:t xml:space="preserve"> (NH</w:t>
            </w:r>
            <w:r>
              <w:rPr>
                <w:b/>
                <w:sz w:val="22"/>
                <w:szCs w:val="22"/>
                <w:vertAlign w:val="subscript"/>
              </w:rPr>
              <w:t>2</w:t>
            </w:r>
            <w:r>
              <w:rPr>
                <w:b/>
                <w:sz w:val="22"/>
                <w:szCs w:val="22"/>
                <w:vertAlign w:val="superscript"/>
              </w:rPr>
              <w:t>+</w:t>
            </w:r>
            <w:r>
              <w:rPr>
                <w:b/>
                <w:sz w:val="22"/>
                <w:szCs w:val="22"/>
              </w:rPr>
              <w:t>)</w:t>
            </w:r>
            <w:r>
              <w:rPr>
                <w:b/>
                <w:position w:val="0"/>
                <w:sz w:val="22"/>
                <w:sz w:val="22"/>
                <w:szCs w:val="22"/>
                <w:vertAlign w:val="baseline"/>
              </w:rPr>
              <w:t>, Hartree</w:t>
            </w:r>
          </w:p>
        </w:tc>
        <w:tc>
          <w:tcPr>
            <w:tcW w:w="17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center"/>
              <w:rPr>
                <w:b/>
                <w:b/>
              </w:rPr>
            </w:pPr>
            <w:r>
              <w:rPr>
                <w:b/>
                <w:sz w:val="22"/>
                <w:szCs w:val="22"/>
              </w:rPr>
              <w:t>E</w:t>
            </w:r>
            <w:r>
              <w:rPr>
                <w:b/>
                <w:sz w:val="22"/>
                <w:szCs w:val="22"/>
                <w:vertAlign w:val="subscript"/>
              </w:rPr>
              <w:t xml:space="preserve">MO </w:t>
            </w:r>
            <w:r>
              <w:rPr>
                <w:b/>
                <w:sz w:val="22"/>
                <w:szCs w:val="22"/>
              </w:rPr>
              <w:t>(NH</w:t>
            </w:r>
            <w:r>
              <w:rPr>
                <w:b/>
                <w:sz w:val="22"/>
                <w:szCs w:val="22"/>
                <w:vertAlign w:val="subscript"/>
              </w:rPr>
              <w:t>2</w:t>
            </w:r>
            <w:r>
              <w:rPr>
                <w:b/>
                <w:sz w:val="22"/>
                <w:szCs w:val="22"/>
              </w:rPr>
              <w:t>N</w:t>
            </w:r>
            <w:r>
              <w:rPr>
                <w:b/>
                <w:sz w:val="22"/>
                <w:szCs w:val="22"/>
                <w:vertAlign w:val="subscript"/>
              </w:rPr>
              <w:t>2</w:t>
            </w:r>
            <w:r>
              <w:rPr>
                <w:b/>
                <w:sz w:val="22"/>
                <w:szCs w:val="22"/>
                <w:vertAlign w:val="superscript"/>
              </w:rPr>
              <w:t>+</w:t>
            </w:r>
            <w:r>
              <w:rPr>
                <w:b/>
                <w:sz w:val="22"/>
                <w:szCs w:val="22"/>
              </w:rPr>
              <w:t>)</w:t>
            </w:r>
            <w:r>
              <w:rPr>
                <w:b/>
                <w:position w:val="0"/>
                <w:sz w:val="22"/>
                <w:sz w:val="22"/>
                <w:szCs w:val="22"/>
                <w:vertAlign w:val="baseline"/>
              </w:rPr>
              <w:t>, Hartree</w:t>
            </w:r>
          </w:p>
        </w:tc>
        <w:tc>
          <w:tcPr>
            <w:tcW w:w="14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center"/>
              <w:rPr>
                <w:sz w:val="22"/>
                <w:szCs w:val="22"/>
              </w:rPr>
            </w:pPr>
            <w:r>
              <w:rPr>
                <w:rFonts w:ascii="Standard Symbols L" w:hAnsi="Standard Symbols L"/>
                <w:b/>
                <w:bCs/>
                <w:sz w:val="16"/>
                <w:szCs w:val="16"/>
              </w:rPr>
              <w:t>D</w:t>
            </w:r>
            <w:r>
              <w:rPr>
                <w:b/>
                <w:sz w:val="22"/>
                <w:szCs w:val="22"/>
              </w:rPr>
              <w:t>E</w:t>
            </w:r>
            <w:r>
              <w:rPr>
                <w:b/>
                <w:sz w:val="22"/>
                <w:szCs w:val="22"/>
                <w:vertAlign w:val="subscript"/>
              </w:rPr>
              <w:t>MO</w:t>
            </w:r>
            <w:r>
              <w:rPr>
                <w:b/>
                <w:sz w:val="22"/>
                <w:szCs w:val="22"/>
              </w:rPr>
              <w:t xml:space="preserve"> </w:t>
            </w:r>
            <w:r>
              <w:rPr>
                <w:b/>
                <w:sz w:val="22"/>
                <w:szCs w:val="22"/>
              </w:rPr>
              <w:t>(</w:t>
            </w:r>
            <w:r>
              <w:rPr>
                <w:b/>
                <w:sz w:val="22"/>
                <w:szCs w:val="22"/>
              </w:rPr>
              <w:t>N</w:t>
            </w:r>
            <w:r>
              <w:rPr>
                <w:b/>
                <w:sz w:val="22"/>
                <w:szCs w:val="22"/>
                <w:vertAlign w:val="subscript"/>
              </w:rPr>
              <w:t>2</w:t>
            </w:r>
            <w:r>
              <w:rPr>
                <w:b/>
                <w:sz w:val="22"/>
                <w:szCs w:val="22"/>
              </w:rPr>
              <w:t>)</w:t>
            </w:r>
            <w:r>
              <w:rPr>
                <w:b/>
                <w:position w:val="0"/>
                <w:sz w:val="22"/>
                <w:sz w:val="22"/>
                <w:szCs w:val="22"/>
                <w:vertAlign w:val="baseline"/>
              </w:rPr>
              <w:t>, Hartree</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center"/>
              <w:rPr>
                <w:sz w:val="22"/>
                <w:szCs w:val="22"/>
              </w:rPr>
            </w:pPr>
            <w:r>
              <w:rPr>
                <w:rFonts w:ascii="Standard Symbols L" w:hAnsi="Standard Symbols L"/>
                <w:b/>
                <w:bCs/>
                <w:sz w:val="16"/>
                <w:szCs w:val="16"/>
              </w:rPr>
              <w:t>D</w:t>
            </w:r>
            <w:r>
              <w:rPr>
                <w:b/>
                <w:sz w:val="22"/>
                <w:szCs w:val="22"/>
              </w:rPr>
              <w:t>E</w:t>
            </w:r>
            <w:r>
              <w:rPr>
                <w:b/>
                <w:sz w:val="22"/>
                <w:szCs w:val="22"/>
                <w:vertAlign w:val="subscript"/>
              </w:rPr>
              <w:t xml:space="preserve">MO </w:t>
            </w:r>
            <w:r>
              <w:rPr>
                <w:b/>
                <w:sz w:val="22"/>
                <w:szCs w:val="22"/>
              </w:rPr>
              <w:t>(NH</w:t>
            </w:r>
            <w:r>
              <w:rPr>
                <w:b/>
                <w:sz w:val="22"/>
                <w:szCs w:val="22"/>
                <w:vertAlign w:val="subscript"/>
              </w:rPr>
              <w:t>2</w:t>
            </w:r>
            <w:r>
              <w:rPr>
                <w:b/>
                <w:sz w:val="22"/>
                <w:szCs w:val="22"/>
                <w:vertAlign w:val="superscript"/>
              </w:rPr>
              <w:t>+</w:t>
            </w:r>
            <w:r>
              <w:rPr>
                <w:b/>
                <w:sz w:val="22"/>
                <w:szCs w:val="22"/>
              </w:rPr>
              <w:t>)</w:t>
            </w:r>
            <w:r>
              <w:rPr>
                <w:b/>
                <w:position w:val="0"/>
                <w:sz w:val="22"/>
                <w:sz w:val="22"/>
                <w:szCs w:val="22"/>
                <w:vertAlign w:val="baseline"/>
              </w:rPr>
              <w:t>, Hartree</w:t>
            </w:r>
          </w:p>
        </w:tc>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center"/>
              <w:rPr>
                <w:sz w:val="22"/>
                <w:szCs w:val="22"/>
              </w:rPr>
            </w:pPr>
            <w:r>
              <w:rPr>
                <w:rFonts w:ascii="Standard Symbols L" w:hAnsi="Standard Symbols L"/>
                <w:b/>
                <w:bCs/>
                <w:sz w:val="16"/>
                <w:szCs w:val="16"/>
              </w:rPr>
              <w:t>D</w:t>
            </w:r>
            <w:r>
              <w:rPr>
                <w:b/>
                <w:sz w:val="22"/>
                <w:szCs w:val="22"/>
              </w:rPr>
              <w:t>E</w:t>
            </w:r>
            <w:r>
              <w:rPr>
                <w:b/>
                <w:sz w:val="22"/>
                <w:szCs w:val="22"/>
                <w:vertAlign w:val="subscript"/>
              </w:rPr>
              <w:t>MO</w:t>
            </w:r>
            <w:r>
              <w:rPr>
                <w:b/>
                <w:position w:val="0"/>
                <w:sz w:val="22"/>
                <w:sz w:val="22"/>
                <w:szCs w:val="22"/>
                <w:vertAlign w:val="baseline"/>
              </w:rPr>
              <w:t>, Hartree</w:t>
            </w:r>
          </w:p>
        </w:tc>
        <w:tc>
          <w:tcPr>
            <w:tcW w:w="13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center"/>
              <w:rPr>
                <w:sz w:val="22"/>
                <w:szCs w:val="22"/>
              </w:rPr>
            </w:pPr>
            <w:r>
              <w:rPr>
                <w:rFonts w:ascii="Standard Symbols L" w:hAnsi="Standard Symbols L"/>
                <w:b/>
                <w:bCs/>
                <w:sz w:val="16"/>
                <w:szCs w:val="16"/>
              </w:rPr>
              <w:t>D</w:t>
            </w:r>
            <w:r>
              <w:rPr>
                <w:b/>
                <w:sz w:val="22"/>
                <w:szCs w:val="22"/>
              </w:rPr>
              <w:t>E</w:t>
            </w:r>
            <w:r>
              <w:rPr>
                <w:b/>
                <w:sz w:val="22"/>
                <w:szCs w:val="22"/>
                <w:vertAlign w:val="subscript"/>
              </w:rPr>
              <w:t>MO</w:t>
            </w:r>
            <w:r>
              <w:rPr>
                <w:b/>
                <w:position w:val="0"/>
                <w:sz w:val="22"/>
                <w:sz w:val="22"/>
                <w:szCs w:val="22"/>
                <w:vertAlign w:val="baseline"/>
              </w:rPr>
              <w:t xml:space="preserve">, </w:t>
            </w:r>
            <w:r>
              <w:rPr>
                <w:b/>
                <w:sz w:val="22"/>
                <w:szCs w:val="22"/>
              </w:rPr>
              <w:t>%</w:t>
            </w:r>
          </w:p>
        </w:tc>
      </w:tr>
      <w:tr>
        <w:trPr/>
        <w:tc>
          <w:tcPr>
            <w:tcW w:w="9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center"/>
              <w:rPr>
                <w:sz w:val="22"/>
                <w:szCs w:val="22"/>
              </w:rPr>
            </w:pPr>
            <w:r>
              <w:rPr>
                <w:color w:val="009900"/>
                <w:sz w:val="22"/>
                <w:szCs w:val="22"/>
              </w:rPr>
              <w:t>1</w:t>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009900"/>
                <w:sz w:val="22"/>
                <w:szCs w:val="22"/>
              </w:rPr>
              <w:t>-14,450116</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rPr>
                <w:color w:val="009900"/>
                <w:sz w:val="22"/>
                <w:szCs w:val="22"/>
              </w:rPr>
            </w:pPr>
            <w:r>
              <w:rPr>
                <w:color w:val="009900"/>
                <w:sz w:val="22"/>
                <w:szCs w:val="22"/>
              </w:rPr>
            </w:r>
          </w:p>
        </w:tc>
        <w:tc>
          <w:tcPr>
            <w:tcW w:w="17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009900"/>
                <w:sz w:val="22"/>
                <w:szCs w:val="22"/>
              </w:rPr>
              <w:t>-14,813807</w:t>
            </w:r>
          </w:p>
        </w:tc>
        <w:tc>
          <w:tcPr>
            <w:tcW w:w="14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009900"/>
                <w:sz w:val="22"/>
                <w:szCs w:val="22"/>
              </w:rPr>
              <w:t>-0,363691</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rPr>
                <w:color w:val="009900"/>
                <w:sz w:val="22"/>
                <w:szCs w:val="22"/>
              </w:rPr>
            </w:pPr>
            <w:r>
              <w:rPr>
                <w:color w:val="009900"/>
                <w:sz w:val="22"/>
                <w:szCs w:val="22"/>
              </w:rPr>
            </w:r>
          </w:p>
        </w:tc>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009900"/>
                <w:sz w:val="22"/>
                <w:szCs w:val="22"/>
              </w:rPr>
              <w:t>-0,363691</w:t>
            </w:r>
          </w:p>
        </w:tc>
        <w:tc>
          <w:tcPr>
            <w:tcW w:w="13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009900"/>
                <w:sz w:val="22"/>
                <w:szCs w:val="22"/>
              </w:rPr>
              <w:t>28,97</w:t>
            </w:r>
          </w:p>
        </w:tc>
      </w:tr>
      <w:tr>
        <w:trPr/>
        <w:tc>
          <w:tcPr>
            <w:tcW w:w="9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center"/>
              <w:rPr>
                <w:sz w:val="22"/>
                <w:szCs w:val="22"/>
              </w:rPr>
            </w:pPr>
            <w:r>
              <w:rPr>
                <w:color w:val="FF9900"/>
                <w:sz w:val="22"/>
                <w:szCs w:val="22"/>
              </w:rPr>
              <w:t>2</w:t>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rPr>
                <w:color w:val="FF9900"/>
                <w:sz w:val="22"/>
                <w:szCs w:val="22"/>
              </w:rPr>
            </w:pPr>
            <w:r>
              <w:rPr>
                <w:color w:val="FF9900"/>
                <w:sz w:val="22"/>
                <w:szCs w:val="22"/>
              </w:rPr>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FF9900"/>
                <w:sz w:val="22"/>
                <w:szCs w:val="22"/>
              </w:rPr>
              <w:t>-14,889393</w:t>
            </w:r>
          </w:p>
        </w:tc>
        <w:tc>
          <w:tcPr>
            <w:tcW w:w="17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FF9900"/>
                <w:sz w:val="22"/>
                <w:szCs w:val="22"/>
              </w:rPr>
              <w:t>-14,747831</w:t>
            </w:r>
          </w:p>
        </w:tc>
        <w:tc>
          <w:tcPr>
            <w:tcW w:w="14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rPr>
                <w:color w:val="FF9900"/>
                <w:sz w:val="22"/>
                <w:szCs w:val="22"/>
              </w:rPr>
            </w:pPr>
            <w:r>
              <w:rPr>
                <w:color w:val="FF9900"/>
                <w:sz w:val="22"/>
                <w:szCs w:val="22"/>
              </w:rPr>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FF9900"/>
                <w:sz w:val="22"/>
                <w:szCs w:val="22"/>
              </w:rPr>
              <w:t>0,141562</w:t>
            </w:r>
          </w:p>
        </w:tc>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FF9900"/>
                <w:sz w:val="22"/>
                <w:szCs w:val="22"/>
              </w:rPr>
              <w:t>0,141562</w:t>
            </w:r>
          </w:p>
        </w:tc>
        <w:tc>
          <w:tcPr>
            <w:tcW w:w="13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FF9900"/>
                <w:sz w:val="22"/>
                <w:szCs w:val="22"/>
              </w:rPr>
              <w:t>-11,28</w:t>
            </w:r>
          </w:p>
        </w:tc>
      </w:tr>
      <w:tr>
        <w:trPr/>
        <w:tc>
          <w:tcPr>
            <w:tcW w:w="9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center"/>
              <w:rPr>
                <w:sz w:val="22"/>
                <w:szCs w:val="22"/>
              </w:rPr>
            </w:pPr>
            <w:r>
              <w:rPr>
                <w:color w:val="009900"/>
                <w:sz w:val="22"/>
                <w:szCs w:val="22"/>
              </w:rPr>
              <w:t>3</w:t>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009900"/>
                <w:sz w:val="22"/>
                <w:szCs w:val="22"/>
              </w:rPr>
              <w:t>-14,44860</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rPr>
                <w:color w:val="009900"/>
                <w:sz w:val="22"/>
                <w:szCs w:val="22"/>
              </w:rPr>
            </w:pPr>
            <w:r>
              <w:rPr>
                <w:color w:val="009900"/>
                <w:sz w:val="22"/>
                <w:szCs w:val="22"/>
              </w:rPr>
            </w:r>
          </w:p>
        </w:tc>
        <w:tc>
          <w:tcPr>
            <w:tcW w:w="17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009900"/>
                <w:sz w:val="22"/>
                <w:szCs w:val="22"/>
              </w:rPr>
              <w:t>-14,719726</w:t>
            </w:r>
          </w:p>
        </w:tc>
        <w:tc>
          <w:tcPr>
            <w:tcW w:w="14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009900"/>
                <w:sz w:val="22"/>
                <w:szCs w:val="22"/>
              </w:rPr>
              <w:t>-0,271126</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rPr>
                <w:color w:val="009900"/>
                <w:sz w:val="22"/>
                <w:szCs w:val="22"/>
              </w:rPr>
            </w:pPr>
            <w:r>
              <w:rPr>
                <w:color w:val="009900"/>
                <w:sz w:val="22"/>
                <w:szCs w:val="22"/>
              </w:rPr>
            </w:r>
          </w:p>
        </w:tc>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009900"/>
                <w:sz w:val="22"/>
                <w:szCs w:val="22"/>
              </w:rPr>
              <w:t>-0,271126</w:t>
            </w:r>
          </w:p>
        </w:tc>
        <w:tc>
          <w:tcPr>
            <w:tcW w:w="13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009900"/>
                <w:sz w:val="22"/>
                <w:szCs w:val="22"/>
              </w:rPr>
              <w:t>21,60</w:t>
            </w:r>
          </w:p>
        </w:tc>
      </w:tr>
      <w:tr>
        <w:trPr/>
        <w:tc>
          <w:tcPr>
            <w:tcW w:w="9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center"/>
              <w:rPr>
                <w:sz w:val="22"/>
                <w:szCs w:val="22"/>
              </w:rPr>
            </w:pPr>
            <w:r>
              <w:rPr>
                <w:color w:val="009900"/>
                <w:sz w:val="22"/>
                <w:szCs w:val="22"/>
              </w:rPr>
              <w:t>4</w:t>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009900"/>
                <w:sz w:val="22"/>
                <w:szCs w:val="22"/>
              </w:rPr>
              <w:t>-1,13</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rPr>
                <w:color w:val="009900"/>
                <w:sz w:val="22"/>
                <w:szCs w:val="22"/>
              </w:rPr>
            </w:pPr>
            <w:r>
              <w:rPr>
                <w:color w:val="009900"/>
                <w:sz w:val="22"/>
                <w:szCs w:val="22"/>
              </w:rPr>
            </w:r>
          </w:p>
        </w:tc>
        <w:tc>
          <w:tcPr>
            <w:tcW w:w="17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009900"/>
                <w:sz w:val="22"/>
                <w:szCs w:val="22"/>
              </w:rPr>
              <w:t>-1,458669</w:t>
            </w:r>
          </w:p>
        </w:tc>
        <w:tc>
          <w:tcPr>
            <w:tcW w:w="14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009900"/>
                <w:sz w:val="22"/>
                <w:szCs w:val="22"/>
              </w:rPr>
              <w:t>-0,323683</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rPr>
                <w:color w:val="009900"/>
                <w:sz w:val="22"/>
                <w:szCs w:val="22"/>
              </w:rPr>
            </w:pPr>
            <w:r>
              <w:rPr>
                <w:color w:val="009900"/>
                <w:sz w:val="22"/>
                <w:szCs w:val="22"/>
              </w:rPr>
            </w:r>
          </w:p>
        </w:tc>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009900"/>
                <w:sz w:val="22"/>
                <w:szCs w:val="22"/>
              </w:rPr>
              <w:t>-0,323683</w:t>
            </w:r>
          </w:p>
        </w:tc>
        <w:tc>
          <w:tcPr>
            <w:tcW w:w="13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009900"/>
                <w:sz w:val="22"/>
                <w:szCs w:val="22"/>
              </w:rPr>
              <w:t>25,78</w:t>
            </w:r>
          </w:p>
        </w:tc>
      </w:tr>
      <w:tr>
        <w:trPr/>
        <w:tc>
          <w:tcPr>
            <w:tcW w:w="9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center"/>
              <w:rPr>
                <w:sz w:val="22"/>
                <w:szCs w:val="22"/>
              </w:rPr>
            </w:pPr>
            <w:r>
              <w:rPr>
                <w:color w:val="FF9900"/>
                <w:sz w:val="22"/>
                <w:szCs w:val="22"/>
              </w:rPr>
              <w:t>5</w:t>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rPr>
                <w:color w:val="FF9900"/>
                <w:sz w:val="22"/>
                <w:szCs w:val="22"/>
              </w:rPr>
            </w:pPr>
            <w:r>
              <w:rPr>
                <w:color w:val="FF9900"/>
                <w:sz w:val="22"/>
                <w:szCs w:val="22"/>
              </w:rPr>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FF9900"/>
                <w:sz w:val="22"/>
                <w:szCs w:val="22"/>
              </w:rPr>
              <w:t>-1,265568</w:t>
            </w:r>
          </w:p>
        </w:tc>
        <w:tc>
          <w:tcPr>
            <w:tcW w:w="17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FF9900"/>
                <w:sz w:val="22"/>
                <w:szCs w:val="22"/>
              </w:rPr>
              <w:t>-1,298670</w:t>
            </w:r>
          </w:p>
        </w:tc>
        <w:tc>
          <w:tcPr>
            <w:tcW w:w="14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rPr>
                <w:color w:val="FF9900"/>
                <w:sz w:val="22"/>
                <w:szCs w:val="22"/>
              </w:rPr>
            </w:pPr>
            <w:r>
              <w:rPr>
                <w:color w:val="FF9900"/>
                <w:sz w:val="22"/>
                <w:szCs w:val="22"/>
              </w:rPr>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FF9900"/>
                <w:sz w:val="22"/>
                <w:szCs w:val="22"/>
              </w:rPr>
              <w:t>-0,033102</w:t>
            </w:r>
          </w:p>
        </w:tc>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FF9900"/>
                <w:sz w:val="22"/>
                <w:szCs w:val="22"/>
              </w:rPr>
              <w:t>-0,033102</w:t>
            </w:r>
          </w:p>
        </w:tc>
        <w:tc>
          <w:tcPr>
            <w:tcW w:w="13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FF9900"/>
                <w:sz w:val="22"/>
                <w:szCs w:val="22"/>
              </w:rPr>
              <w:t>2,64</w:t>
            </w:r>
          </w:p>
        </w:tc>
      </w:tr>
      <w:tr>
        <w:trPr/>
        <w:tc>
          <w:tcPr>
            <w:tcW w:w="9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center"/>
              <w:rPr>
                <w:sz w:val="22"/>
                <w:szCs w:val="22"/>
              </w:rPr>
            </w:pPr>
            <w:r>
              <w:rPr>
                <w:color w:val="009900"/>
                <w:sz w:val="22"/>
                <w:szCs w:val="22"/>
              </w:rPr>
              <w:t>6</w:t>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009900"/>
                <w:sz w:val="22"/>
                <w:szCs w:val="22"/>
              </w:rPr>
              <w:t>-0,57</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rPr>
                <w:color w:val="009900"/>
                <w:sz w:val="22"/>
                <w:szCs w:val="22"/>
              </w:rPr>
            </w:pPr>
            <w:r>
              <w:rPr>
                <w:color w:val="009900"/>
                <w:sz w:val="22"/>
                <w:szCs w:val="22"/>
              </w:rPr>
            </w:r>
          </w:p>
        </w:tc>
        <w:tc>
          <w:tcPr>
            <w:tcW w:w="17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009900"/>
                <w:sz w:val="22"/>
                <w:szCs w:val="22"/>
              </w:rPr>
              <w:t>-0,965855</w:t>
            </w:r>
          </w:p>
        </w:tc>
        <w:tc>
          <w:tcPr>
            <w:tcW w:w="14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009900"/>
                <w:sz w:val="22"/>
                <w:szCs w:val="22"/>
              </w:rPr>
              <w:t>-0,400000</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rPr>
                <w:color w:val="009900"/>
                <w:sz w:val="22"/>
                <w:szCs w:val="22"/>
              </w:rPr>
            </w:pPr>
            <w:r>
              <w:rPr>
                <w:color w:val="009900"/>
                <w:sz w:val="22"/>
                <w:szCs w:val="22"/>
              </w:rPr>
            </w:r>
          </w:p>
        </w:tc>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009900"/>
                <w:sz w:val="22"/>
                <w:szCs w:val="22"/>
              </w:rPr>
              <w:t>-0,400000</w:t>
            </w:r>
          </w:p>
        </w:tc>
        <w:tc>
          <w:tcPr>
            <w:tcW w:w="13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009900"/>
                <w:sz w:val="22"/>
                <w:szCs w:val="22"/>
              </w:rPr>
              <w:t>31,86</w:t>
            </w:r>
          </w:p>
        </w:tc>
      </w:tr>
      <w:tr>
        <w:trPr/>
        <w:tc>
          <w:tcPr>
            <w:tcW w:w="9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center"/>
              <w:rPr>
                <w:sz w:val="22"/>
                <w:szCs w:val="22"/>
              </w:rPr>
            </w:pPr>
            <w:r>
              <w:rPr>
                <w:color w:val="FF9900"/>
                <w:sz w:val="22"/>
                <w:szCs w:val="22"/>
              </w:rPr>
              <w:t>7</w:t>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rPr>
                <w:color w:val="FF9900"/>
                <w:sz w:val="22"/>
                <w:szCs w:val="22"/>
              </w:rPr>
            </w:pPr>
            <w:r>
              <w:rPr>
                <w:color w:val="FF9900"/>
                <w:sz w:val="22"/>
                <w:szCs w:val="22"/>
              </w:rPr>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FF9900"/>
                <w:sz w:val="22"/>
                <w:szCs w:val="22"/>
              </w:rPr>
              <w:t>-0,891819</w:t>
            </w:r>
          </w:p>
        </w:tc>
        <w:tc>
          <w:tcPr>
            <w:tcW w:w="17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FF9900"/>
                <w:sz w:val="22"/>
                <w:szCs w:val="22"/>
              </w:rPr>
              <w:t>-0,886050</w:t>
            </w:r>
          </w:p>
        </w:tc>
        <w:tc>
          <w:tcPr>
            <w:tcW w:w="14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rPr>
                <w:color w:val="FF9900"/>
                <w:sz w:val="22"/>
                <w:szCs w:val="22"/>
              </w:rPr>
            </w:pPr>
            <w:r>
              <w:rPr>
                <w:color w:val="FF9900"/>
                <w:sz w:val="22"/>
                <w:szCs w:val="22"/>
              </w:rPr>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FF9900"/>
                <w:sz w:val="22"/>
                <w:szCs w:val="22"/>
              </w:rPr>
              <w:t>0,005769</w:t>
            </w:r>
          </w:p>
        </w:tc>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FF9900"/>
                <w:sz w:val="22"/>
                <w:szCs w:val="22"/>
              </w:rPr>
              <w:t>0,005769</w:t>
            </w:r>
          </w:p>
        </w:tc>
        <w:tc>
          <w:tcPr>
            <w:tcW w:w="13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FF9900"/>
                <w:sz w:val="22"/>
                <w:szCs w:val="22"/>
              </w:rPr>
              <w:t>-0,46</w:t>
            </w:r>
          </w:p>
        </w:tc>
      </w:tr>
      <w:tr>
        <w:trPr/>
        <w:tc>
          <w:tcPr>
            <w:tcW w:w="9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center"/>
              <w:rPr>
                <w:sz w:val="22"/>
                <w:szCs w:val="22"/>
              </w:rPr>
            </w:pPr>
            <w:r>
              <w:rPr>
                <w:color w:val="FF9900"/>
                <w:sz w:val="22"/>
                <w:szCs w:val="22"/>
              </w:rPr>
              <w:t>8</w:t>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rPr>
                <w:color w:val="FF9900"/>
                <w:sz w:val="22"/>
                <w:szCs w:val="22"/>
              </w:rPr>
            </w:pPr>
            <w:r>
              <w:rPr>
                <w:color w:val="FF9900"/>
                <w:sz w:val="22"/>
                <w:szCs w:val="22"/>
              </w:rPr>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FF9900"/>
                <w:sz w:val="22"/>
                <w:szCs w:val="22"/>
              </w:rPr>
              <w:t>-0,744735</w:t>
            </w:r>
          </w:p>
        </w:tc>
        <w:tc>
          <w:tcPr>
            <w:tcW w:w="17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FF9900"/>
                <w:sz w:val="22"/>
                <w:szCs w:val="22"/>
              </w:rPr>
              <w:t>-0,809290</w:t>
            </w:r>
          </w:p>
        </w:tc>
        <w:tc>
          <w:tcPr>
            <w:tcW w:w="14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rPr>
                <w:color w:val="FF9900"/>
                <w:sz w:val="22"/>
                <w:szCs w:val="22"/>
              </w:rPr>
            </w:pPr>
            <w:r>
              <w:rPr>
                <w:color w:val="FF9900"/>
                <w:sz w:val="22"/>
                <w:szCs w:val="22"/>
              </w:rPr>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FF9900"/>
                <w:sz w:val="22"/>
                <w:szCs w:val="22"/>
              </w:rPr>
              <w:t>-0,064555</w:t>
            </w:r>
          </w:p>
        </w:tc>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FF9900"/>
                <w:sz w:val="22"/>
                <w:szCs w:val="22"/>
              </w:rPr>
              <w:t>-0,064555</w:t>
            </w:r>
          </w:p>
        </w:tc>
        <w:tc>
          <w:tcPr>
            <w:tcW w:w="13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FF9900"/>
                <w:sz w:val="22"/>
                <w:szCs w:val="22"/>
              </w:rPr>
              <w:t>5,14</w:t>
            </w:r>
          </w:p>
        </w:tc>
      </w:tr>
      <w:tr>
        <w:trPr/>
        <w:tc>
          <w:tcPr>
            <w:tcW w:w="9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center"/>
              <w:rPr>
                <w:sz w:val="22"/>
                <w:szCs w:val="22"/>
              </w:rPr>
            </w:pPr>
            <w:r>
              <w:rPr>
                <w:color w:val="009900"/>
                <w:sz w:val="22"/>
                <w:szCs w:val="22"/>
              </w:rPr>
              <w:t>9</w:t>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009900"/>
                <w:sz w:val="22"/>
                <w:szCs w:val="22"/>
              </w:rPr>
              <w:t>-0,471908</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rPr>
                <w:color w:val="009900"/>
                <w:sz w:val="22"/>
                <w:szCs w:val="22"/>
              </w:rPr>
            </w:pPr>
            <w:r>
              <w:rPr>
                <w:color w:val="009900"/>
                <w:sz w:val="22"/>
                <w:szCs w:val="22"/>
              </w:rPr>
            </w:r>
          </w:p>
        </w:tc>
        <w:tc>
          <w:tcPr>
            <w:tcW w:w="17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009900"/>
                <w:sz w:val="22"/>
                <w:szCs w:val="22"/>
              </w:rPr>
              <w:t>-0,747709</w:t>
            </w:r>
          </w:p>
        </w:tc>
        <w:tc>
          <w:tcPr>
            <w:tcW w:w="14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009900"/>
                <w:sz w:val="22"/>
                <w:szCs w:val="22"/>
              </w:rPr>
              <w:t>-0,275801</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rPr>
                <w:color w:val="009900"/>
                <w:sz w:val="22"/>
                <w:szCs w:val="22"/>
              </w:rPr>
            </w:pPr>
            <w:r>
              <w:rPr>
                <w:color w:val="009900"/>
                <w:sz w:val="22"/>
                <w:szCs w:val="22"/>
              </w:rPr>
            </w:r>
          </w:p>
        </w:tc>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009900"/>
                <w:sz w:val="22"/>
                <w:szCs w:val="22"/>
              </w:rPr>
              <w:t>-0,275801</w:t>
            </w:r>
          </w:p>
        </w:tc>
        <w:tc>
          <w:tcPr>
            <w:tcW w:w="13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009900"/>
                <w:sz w:val="22"/>
                <w:szCs w:val="22"/>
              </w:rPr>
              <w:t>21,97</w:t>
            </w:r>
          </w:p>
        </w:tc>
      </w:tr>
      <w:tr>
        <w:trPr/>
        <w:tc>
          <w:tcPr>
            <w:tcW w:w="9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center"/>
              <w:rPr>
                <w:sz w:val="22"/>
                <w:szCs w:val="22"/>
              </w:rPr>
            </w:pPr>
            <w:r>
              <w:rPr>
                <w:color w:val="009900"/>
                <w:sz w:val="22"/>
                <w:szCs w:val="22"/>
              </w:rPr>
              <w:t>10</w:t>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009900"/>
                <w:sz w:val="22"/>
                <w:szCs w:val="22"/>
              </w:rPr>
              <w:t>-0,47</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rPr>
                <w:color w:val="009900"/>
                <w:sz w:val="22"/>
                <w:szCs w:val="22"/>
              </w:rPr>
            </w:pPr>
            <w:r>
              <w:rPr>
                <w:color w:val="009900"/>
                <w:sz w:val="22"/>
                <w:szCs w:val="22"/>
              </w:rPr>
            </w:r>
          </w:p>
        </w:tc>
        <w:tc>
          <w:tcPr>
            <w:tcW w:w="17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009900"/>
                <w:sz w:val="22"/>
                <w:szCs w:val="22"/>
              </w:rPr>
              <w:t>-0,738254</w:t>
            </w:r>
          </w:p>
        </w:tc>
        <w:tc>
          <w:tcPr>
            <w:tcW w:w="14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009900"/>
                <w:sz w:val="22"/>
                <w:szCs w:val="22"/>
              </w:rPr>
              <w:t>-0,266329</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rPr>
                <w:color w:val="009900"/>
                <w:sz w:val="22"/>
                <w:szCs w:val="22"/>
              </w:rPr>
            </w:pPr>
            <w:r>
              <w:rPr>
                <w:color w:val="009900"/>
                <w:sz w:val="22"/>
                <w:szCs w:val="22"/>
              </w:rPr>
            </w:r>
          </w:p>
        </w:tc>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009900"/>
                <w:sz w:val="22"/>
                <w:szCs w:val="22"/>
              </w:rPr>
              <w:t>-0,266329</w:t>
            </w:r>
          </w:p>
        </w:tc>
        <w:tc>
          <w:tcPr>
            <w:tcW w:w="13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009900"/>
                <w:sz w:val="22"/>
                <w:szCs w:val="22"/>
              </w:rPr>
              <w:t>21,21</w:t>
            </w:r>
          </w:p>
        </w:tc>
      </w:tr>
      <w:tr>
        <w:trPr/>
        <w:tc>
          <w:tcPr>
            <w:tcW w:w="9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center"/>
              <w:rPr>
                <w:sz w:val="22"/>
                <w:szCs w:val="22"/>
              </w:rPr>
            </w:pPr>
            <w:r>
              <w:rPr>
                <w:color w:val="FF0000"/>
                <w:sz w:val="22"/>
                <w:szCs w:val="22"/>
              </w:rPr>
              <w:t>11*</w:t>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FF0000"/>
                <w:sz w:val="22"/>
                <w:szCs w:val="22"/>
              </w:rPr>
              <w:t>-0,438559</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rPr>
                <w:color w:val="FF0000"/>
                <w:sz w:val="22"/>
                <w:szCs w:val="22"/>
              </w:rPr>
            </w:pPr>
            <w:r>
              <w:rPr>
                <w:color w:val="FF0000"/>
                <w:sz w:val="22"/>
                <w:szCs w:val="22"/>
              </w:rPr>
            </w:r>
          </w:p>
        </w:tc>
        <w:tc>
          <w:tcPr>
            <w:tcW w:w="17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FF0000"/>
                <w:sz w:val="22"/>
                <w:szCs w:val="22"/>
              </w:rPr>
              <w:t>-0,6</w:t>
            </w:r>
          </w:p>
        </w:tc>
        <w:tc>
          <w:tcPr>
            <w:tcW w:w="14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FF0000"/>
                <w:sz w:val="22"/>
                <w:szCs w:val="22"/>
              </w:rPr>
              <w:t>-0,162383</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rPr>
                <w:color w:val="FF0000"/>
                <w:sz w:val="22"/>
                <w:szCs w:val="22"/>
              </w:rPr>
            </w:pPr>
            <w:r>
              <w:rPr>
                <w:color w:val="FF0000"/>
                <w:sz w:val="22"/>
                <w:szCs w:val="22"/>
              </w:rPr>
            </w:r>
          </w:p>
        </w:tc>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FF0000"/>
                <w:sz w:val="22"/>
                <w:szCs w:val="22"/>
              </w:rPr>
              <w:t>-0,162383</w:t>
            </w:r>
          </w:p>
        </w:tc>
        <w:tc>
          <w:tcPr>
            <w:tcW w:w="13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FF0000"/>
                <w:sz w:val="22"/>
                <w:szCs w:val="22"/>
              </w:rPr>
              <w:t>12,93</w:t>
            </w:r>
          </w:p>
        </w:tc>
      </w:tr>
      <w:tr>
        <w:trPr/>
        <w:tc>
          <w:tcPr>
            <w:tcW w:w="9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center"/>
              <w:rPr>
                <w:sz w:val="22"/>
                <w:szCs w:val="22"/>
              </w:rPr>
            </w:pPr>
            <w:r>
              <w:rPr>
                <w:rFonts w:eastAsia="Noto Sans CJK SC DemiLight" w:cs="FreeSans" w:ascii="Standard Symbols L" w:hAnsi="Standard Symbols L"/>
                <w:b/>
                <w:sz w:val="22"/>
                <w:szCs w:val="22"/>
              </w:rPr>
              <w:t>S</w:t>
            </w:r>
            <w:r>
              <w:rPr>
                <w:rFonts w:eastAsia="Noto Sans CJK SC DemiLight" w:cs="FreeSans" w:ascii="FreeSerif" w:hAnsi="FreeSerif"/>
                <w:b/>
                <w:sz w:val="22"/>
                <w:szCs w:val="22"/>
              </w:rPr>
              <w:t xml:space="preserve">, </w:t>
            </w:r>
            <w:r>
              <w:rPr>
                <w:rFonts w:eastAsia="Noto Sans CJK SC DemiLight" w:cs="FreeSans" w:ascii="FreeSerif" w:hAnsi="FreeSerif"/>
                <w:b/>
                <w:position w:val="0"/>
                <w:sz w:val="22"/>
                <w:sz w:val="22"/>
                <w:szCs w:val="22"/>
                <w:vertAlign w:val="baseline"/>
              </w:rPr>
              <w:t>Hartree</w:t>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b/>
                <w:sz w:val="22"/>
                <w:szCs w:val="22"/>
              </w:rPr>
              <w:t>-31,981949</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b/>
                <w:sz w:val="22"/>
                <w:szCs w:val="22"/>
              </w:rPr>
              <w:t>-17,791515</w:t>
            </w:r>
          </w:p>
        </w:tc>
        <w:tc>
          <w:tcPr>
            <w:tcW w:w="17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b/>
                <w:sz w:val="22"/>
                <w:szCs w:val="22"/>
              </w:rPr>
              <w:t>-51,786803</w:t>
            </w:r>
          </w:p>
        </w:tc>
        <w:tc>
          <w:tcPr>
            <w:tcW w:w="14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b/>
                <w:sz w:val="22"/>
                <w:szCs w:val="22"/>
              </w:rPr>
              <w:t>-2,063013</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b/>
                <w:sz w:val="22"/>
                <w:szCs w:val="22"/>
              </w:rPr>
              <w:t>0,049674</w:t>
            </w:r>
          </w:p>
        </w:tc>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b/>
                <w:sz w:val="22"/>
                <w:szCs w:val="22"/>
              </w:rPr>
              <w:t>-2,013339</w:t>
            </w:r>
          </w:p>
        </w:tc>
        <w:tc>
          <w:tcPr>
            <w:tcW w:w="13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b/>
                <w:b/>
                <w:sz w:val="22"/>
                <w:szCs w:val="22"/>
              </w:rPr>
            </w:pPr>
            <w:r>
              <w:rPr>
                <w:b/>
                <w:sz w:val="22"/>
                <w:szCs w:val="22"/>
              </w:rPr>
            </w:r>
          </w:p>
        </w:tc>
      </w:tr>
      <w:tr>
        <w:trPr/>
        <w:tc>
          <w:tcPr>
            <w:tcW w:w="9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center"/>
              <w:rPr>
                <w:sz w:val="22"/>
                <w:szCs w:val="22"/>
              </w:rPr>
            </w:pPr>
            <w:r>
              <w:rPr>
                <w:rFonts w:eastAsia="Noto Sans CJK SC DemiLight" w:cs="FreeSans" w:ascii="Standard Symbols L" w:hAnsi="Standard Symbols L"/>
                <w:b/>
                <w:sz w:val="22"/>
                <w:szCs w:val="22"/>
              </w:rPr>
              <w:t xml:space="preserve">S, </w:t>
            </w:r>
            <w:r>
              <w:rPr>
                <w:b/>
                <w:sz w:val="22"/>
                <w:szCs w:val="22"/>
              </w:rPr>
              <w:t>%</w:t>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b/>
                <w:sz w:val="22"/>
                <w:szCs w:val="22"/>
              </w:rPr>
              <w:t>61,</w:t>
            </w:r>
            <w:r>
              <w:rPr>
                <w:b/>
                <w:sz w:val="22"/>
                <w:szCs w:val="22"/>
              </w:rPr>
              <w:t>8</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b/>
                <w:sz w:val="22"/>
                <w:szCs w:val="22"/>
              </w:rPr>
              <w:t>34,</w:t>
            </w:r>
            <w:r>
              <w:rPr>
                <w:b/>
                <w:sz w:val="22"/>
                <w:szCs w:val="22"/>
              </w:rPr>
              <w:t>4</w:t>
            </w:r>
          </w:p>
        </w:tc>
        <w:tc>
          <w:tcPr>
            <w:tcW w:w="17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rPr>
                <w:b/>
                <w:b/>
                <w:sz w:val="22"/>
                <w:szCs w:val="22"/>
              </w:rPr>
            </w:pPr>
            <w:r>
              <w:rPr>
                <w:b/>
                <w:sz w:val="22"/>
                <w:szCs w:val="22"/>
              </w:rPr>
            </w:r>
          </w:p>
        </w:tc>
        <w:tc>
          <w:tcPr>
            <w:tcW w:w="14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b/>
                <w:sz w:val="22"/>
                <w:szCs w:val="22"/>
              </w:rPr>
              <w:t>102,</w:t>
            </w:r>
            <w:r>
              <w:rPr>
                <w:b/>
                <w:sz w:val="22"/>
                <w:szCs w:val="22"/>
              </w:rPr>
              <w:t>5</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b/>
                <w:sz w:val="22"/>
                <w:szCs w:val="22"/>
              </w:rPr>
              <w:t>-2,</w:t>
            </w:r>
            <w:r>
              <w:rPr>
                <w:b/>
                <w:sz w:val="22"/>
                <w:szCs w:val="22"/>
              </w:rPr>
              <w:t>5</w:t>
            </w:r>
          </w:p>
        </w:tc>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rPr>
                <w:b/>
                <w:b/>
                <w:sz w:val="22"/>
                <w:szCs w:val="22"/>
              </w:rPr>
            </w:pPr>
            <w:r>
              <w:rPr>
                <w:b/>
                <w:sz w:val="22"/>
                <w:szCs w:val="22"/>
              </w:rPr>
            </w:r>
          </w:p>
        </w:tc>
        <w:tc>
          <w:tcPr>
            <w:tcW w:w="13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rPr>
                <w:b/>
                <w:b/>
                <w:sz w:val="22"/>
                <w:szCs w:val="22"/>
              </w:rPr>
            </w:pPr>
            <w:r>
              <w:rPr>
                <w:b/>
                <w:sz w:val="22"/>
                <w:szCs w:val="22"/>
              </w:rPr>
            </w:r>
          </w:p>
        </w:tc>
      </w:tr>
      <w:tr>
        <w:trPr/>
        <w:tc>
          <w:tcPr>
            <w:tcW w:w="10772" w:type="dxa"/>
            <w:gridSpan w:val="8"/>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center"/>
              <w:rPr>
                <w:sz w:val="22"/>
                <w:szCs w:val="22"/>
              </w:rPr>
            </w:pPr>
            <w:r>
              <w:rPr>
                <w:b/>
                <w:sz w:val="22"/>
                <w:szCs w:val="22"/>
              </w:rPr>
              <w:t>Unoccupied molecular orbitals</w:t>
            </w:r>
          </w:p>
        </w:tc>
      </w:tr>
      <w:tr>
        <w:trPr/>
        <w:tc>
          <w:tcPr>
            <w:tcW w:w="9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center"/>
              <w:rPr>
                <w:sz w:val="22"/>
                <w:szCs w:val="22"/>
              </w:rPr>
            </w:pPr>
            <w:r>
              <w:rPr>
                <w:sz w:val="22"/>
                <w:szCs w:val="22"/>
              </w:rPr>
              <w:t xml:space="preserve">№ </w:t>
            </w:r>
            <w:r>
              <w:rPr>
                <w:b/>
                <w:sz w:val="22"/>
                <w:szCs w:val="22"/>
              </w:rPr>
              <w:t>MO</w:t>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center"/>
              <w:rPr>
                <w:sz w:val="22"/>
                <w:szCs w:val="22"/>
              </w:rPr>
            </w:pPr>
            <w:r>
              <w:rPr>
                <w:b/>
                <w:sz w:val="22"/>
                <w:szCs w:val="22"/>
              </w:rPr>
              <w:t>E</w:t>
            </w:r>
            <w:r>
              <w:rPr>
                <w:b/>
                <w:sz w:val="22"/>
                <w:szCs w:val="22"/>
                <w:vertAlign w:val="subscript"/>
              </w:rPr>
              <w:t xml:space="preserve">MO </w:t>
            </w:r>
            <w:r>
              <w:rPr>
                <w:b/>
                <w:sz w:val="22"/>
                <w:szCs w:val="22"/>
              </w:rPr>
              <w:t>(</w:t>
            </w:r>
            <w:r>
              <w:rPr>
                <w:b/>
                <w:sz w:val="22"/>
                <w:szCs w:val="22"/>
              </w:rPr>
              <w:t>N</w:t>
            </w:r>
            <w:r>
              <w:rPr>
                <w:b/>
                <w:sz w:val="22"/>
                <w:szCs w:val="22"/>
                <w:vertAlign w:val="subscript"/>
              </w:rPr>
              <w:t>2</w:t>
            </w:r>
            <w:r>
              <w:rPr>
                <w:b/>
                <w:position w:val="0"/>
                <w:sz w:val="22"/>
                <w:sz w:val="22"/>
                <w:szCs w:val="22"/>
                <w:vertAlign w:val="baseline"/>
              </w:rPr>
              <w:t>), Hartree</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center"/>
              <w:rPr>
                <w:sz w:val="22"/>
                <w:szCs w:val="22"/>
              </w:rPr>
            </w:pPr>
            <w:r>
              <w:rPr>
                <w:b/>
                <w:sz w:val="22"/>
                <w:szCs w:val="22"/>
              </w:rPr>
              <w:t>E</w:t>
            </w:r>
            <w:r>
              <w:rPr>
                <w:b/>
                <w:sz w:val="22"/>
                <w:szCs w:val="22"/>
                <w:vertAlign w:val="subscript"/>
              </w:rPr>
              <w:t>MO</w:t>
            </w:r>
            <w:r>
              <w:rPr>
                <w:b/>
                <w:sz w:val="22"/>
                <w:szCs w:val="22"/>
              </w:rPr>
              <w:t xml:space="preserve"> (NH</w:t>
            </w:r>
            <w:r>
              <w:rPr>
                <w:b/>
                <w:sz w:val="22"/>
                <w:szCs w:val="22"/>
                <w:vertAlign w:val="subscript"/>
              </w:rPr>
              <w:t>2</w:t>
            </w:r>
            <w:r>
              <w:rPr>
                <w:b/>
                <w:sz w:val="22"/>
                <w:szCs w:val="22"/>
                <w:vertAlign w:val="superscript"/>
              </w:rPr>
              <w:t>+</w:t>
            </w:r>
            <w:r>
              <w:rPr>
                <w:b/>
                <w:sz w:val="22"/>
                <w:szCs w:val="22"/>
              </w:rPr>
              <w:t>)</w:t>
            </w:r>
            <w:r>
              <w:rPr>
                <w:b/>
                <w:position w:val="0"/>
                <w:sz w:val="22"/>
                <w:sz w:val="22"/>
                <w:szCs w:val="22"/>
                <w:vertAlign w:val="baseline"/>
              </w:rPr>
              <w:t>, Hartree</w:t>
            </w:r>
          </w:p>
        </w:tc>
        <w:tc>
          <w:tcPr>
            <w:tcW w:w="17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center"/>
              <w:rPr>
                <w:sz w:val="22"/>
                <w:szCs w:val="22"/>
              </w:rPr>
            </w:pPr>
            <w:r>
              <w:rPr>
                <w:b/>
                <w:sz w:val="22"/>
                <w:szCs w:val="22"/>
              </w:rPr>
              <w:t>E</w:t>
            </w:r>
            <w:r>
              <w:rPr>
                <w:b/>
                <w:sz w:val="22"/>
                <w:szCs w:val="22"/>
                <w:vertAlign w:val="subscript"/>
              </w:rPr>
              <w:t xml:space="preserve">MO </w:t>
            </w:r>
            <w:r>
              <w:rPr>
                <w:b/>
                <w:sz w:val="22"/>
                <w:szCs w:val="22"/>
              </w:rPr>
              <w:t>(NH</w:t>
            </w:r>
            <w:r>
              <w:rPr>
                <w:b/>
                <w:sz w:val="22"/>
                <w:szCs w:val="22"/>
                <w:vertAlign w:val="subscript"/>
              </w:rPr>
              <w:t>2</w:t>
            </w:r>
            <w:r>
              <w:rPr>
                <w:b/>
                <w:sz w:val="22"/>
                <w:szCs w:val="22"/>
              </w:rPr>
              <w:t>N</w:t>
            </w:r>
            <w:r>
              <w:rPr>
                <w:b/>
                <w:sz w:val="22"/>
                <w:szCs w:val="22"/>
                <w:vertAlign w:val="subscript"/>
              </w:rPr>
              <w:t>2</w:t>
            </w:r>
            <w:r>
              <w:rPr>
                <w:b/>
                <w:sz w:val="22"/>
                <w:szCs w:val="22"/>
                <w:vertAlign w:val="superscript"/>
              </w:rPr>
              <w:t>+</w:t>
            </w:r>
            <w:r>
              <w:rPr>
                <w:b/>
                <w:sz w:val="22"/>
                <w:szCs w:val="22"/>
              </w:rPr>
              <w:t>)</w:t>
            </w:r>
            <w:r>
              <w:rPr>
                <w:b/>
                <w:position w:val="0"/>
                <w:sz w:val="22"/>
                <w:sz w:val="22"/>
                <w:szCs w:val="22"/>
                <w:vertAlign w:val="baseline"/>
              </w:rPr>
              <w:t>, Hartree</w:t>
            </w:r>
          </w:p>
        </w:tc>
        <w:tc>
          <w:tcPr>
            <w:tcW w:w="14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center"/>
              <w:rPr>
                <w:sz w:val="22"/>
                <w:szCs w:val="22"/>
              </w:rPr>
            </w:pPr>
            <w:r>
              <w:rPr>
                <w:rFonts w:ascii="Standard Symbols L" w:hAnsi="Standard Symbols L"/>
                <w:b/>
                <w:bCs/>
                <w:sz w:val="16"/>
                <w:szCs w:val="16"/>
              </w:rPr>
              <w:t>D</w:t>
            </w:r>
            <w:r>
              <w:rPr>
                <w:b/>
                <w:sz w:val="22"/>
                <w:szCs w:val="22"/>
              </w:rPr>
              <w:t>E</w:t>
            </w:r>
            <w:r>
              <w:rPr>
                <w:b/>
                <w:sz w:val="22"/>
                <w:szCs w:val="22"/>
                <w:vertAlign w:val="subscript"/>
              </w:rPr>
              <w:t>MO</w:t>
            </w:r>
            <w:r>
              <w:rPr>
                <w:b/>
                <w:sz w:val="22"/>
                <w:szCs w:val="22"/>
              </w:rPr>
              <w:t xml:space="preserve"> </w:t>
            </w:r>
            <w:r>
              <w:rPr>
                <w:b/>
                <w:sz w:val="22"/>
                <w:szCs w:val="22"/>
              </w:rPr>
              <w:t>(</w:t>
            </w:r>
            <w:r>
              <w:rPr>
                <w:b/>
                <w:sz w:val="22"/>
                <w:szCs w:val="22"/>
              </w:rPr>
              <w:t>N</w:t>
            </w:r>
            <w:r>
              <w:rPr>
                <w:b/>
                <w:sz w:val="22"/>
                <w:szCs w:val="22"/>
                <w:vertAlign w:val="subscript"/>
              </w:rPr>
              <w:t>2</w:t>
            </w:r>
            <w:r>
              <w:rPr>
                <w:b/>
                <w:sz w:val="22"/>
                <w:szCs w:val="22"/>
              </w:rPr>
              <w:t>)</w:t>
            </w:r>
            <w:r>
              <w:rPr>
                <w:b/>
                <w:position w:val="0"/>
                <w:sz w:val="22"/>
                <w:sz w:val="22"/>
                <w:szCs w:val="22"/>
                <w:vertAlign w:val="baseline"/>
              </w:rPr>
              <w:t>, Hartree</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center"/>
              <w:rPr>
                <w:sz w:val="22"/>
                <w:szCs w:val="22"/>
              </w:rPr>
            </w:pPr>
            <w:r>
              <w:rPr>
                <w:rFonts w:ascii="Standard Symbols L" w:hAnsi="Standard Symbols L"/>
                <w:b/>
                <w:bCs/>
                <w:sz w:val="16"/>
                <w:szCs w:val="16"/>
              </w:rPr>
              <w:t>D</w:t>
            </w:r>
            <w:r>
              <w:rPr>
                <w:b/>
                <w:sz w:val="22"/>
                <w:szCs w:val="22"/>
              </w:rPr>
              <w:t>E</w:t>
            </w:r>
            <w:r>
              <w:rPr>
                <w:b/>
                <w:sz w:val="22"/>
                <w:szCs w:val="22"/>
                <w:vertAlign w:val="subscript"/>
              </w:rPr>
              <w:t xml:space="preserve">MO </w:t>
            </w:r>
            <w:r>
              <w:rPr>
                <w:b/>
                <w:sz w:val="22"/>
                <w:szCs w:val="22"/>
              </w:rPr>
              <w:t>(NH</w:t>
            </w:r>
            <w:r>
              <w:rPr>
                <w:b/>
                <w:sz w:val="22"/>
                <w:szCs w:val="22"/>
                <w:vertAlign w:val="subscript"/>
              </w:rPr>
              <w:t>2</w:t>
            </w:r>
            <w:r>
              <w:rPr>
                <w:b/>
                <w:sz w:val="22"/>
                <w:szCs w:val="22"/>
                <w:vertAlign w:val="superscript"/>
              </w:rPr>
              <w:t>+</w:t>
            </w:r>
            <w:r>
              <w:rPr>
                <w:b/>
                <w:sz w:val="22"/>
                <w:szCs w:val="22"/>
              </w:rPr>
              <w:t>)</w:t>
            </w:r>
            <w:r>
              <w:rPr>
                <w:b/>
                <w:position w:val="0"/>
                <w:sz w:val="22"/>
                <w:sz w:val="22"/>
                <w:szCs w:val="22"/>
                <w:vertAlign w:val="baseline"/>
              </w:rPr>
              <w:t>, Hartree</w:t>
            </w:r>
          </w:p>
        </w:tc>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center"/>
              <w:rPr>
                <w:sz w:val="22"/>
                <w:szCs w:val="22"/>
              </w:rPr>
            </w:pPr>
            <w:r>
              <w:rPr>
                <w:rFonts w:ascii="Standard Symbols L" w:hAnsi="Standard Symbols L"/>
                <w:b/>
                <w:bCs/>
                <w:sz w:val="16"/>
                <w:szCs w:val="16"/>
              </w:rPr>
              <w:t>D</w:t>
            </w:r>
            <w:r>
              <w:rPr>
                <w:b/>
                <w:sz w:val="22"/>
                <w:szCs w:val="22"/>
              </w:rPr>
              <w:t>E</w:t>
            </w:r>
            <w:r>
              <w:rPr>
                <w:b/>
                <w:sz w:val="22"/>
                <w:szCs w:val="22"/>
                <w:vertAlign w:val="subscript"/>
              </w:rPr>
              <w:t>MO</w:t>
            </w:r>
            <w:r>
              <w:rPr>
                <w:b/>
                <w:position w:val="0"/>
                <w:sz w:val="22"/>
                <w:sz w:val="22"/>
                <w:szCs w:val="22"/>
                <w:vertAlign w:val="baseline"/>
              </w:rPr>
              <w:t>, Hartree</w:t>
            </w:r>
          </w:p>
        </w:tc>
        <w:tc>
          <w:tcPr>
            <w:tcW w:w="13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center"/>
              <w:rPr>
                <w:sz w:val="22"/>
                <w:szCs w:val="22"/>
              </w:rPr>
            </w:pPr>
            <w:r>
              <w:rPr>
                <w:rFonts w:ascii="Standard Symbols L" w:hAnsi="Standard Symbols L"/>
                <w:b/>
                <w:bCs/>
                <w:sz w:val="16"/>
                <w:szCs w:val="16"/>
              </w:rPr>
              <w:t>D</w:t>
            </w:r>
            <w:r>
              <w:rPr>
                <w:b/>
                <w:sz w:val="22"/>
                <w:szCs w:val="22"/>
              </w:rPr>
              <w:t>E</w:t>
            </w:r>
            <w:r>
              <w:rPr>
                <w:b/>
                <w:sz w:val="22"/>
                <w:szCs w:val="22"/>
                <w:vertAlign w:val="subscript"/>
              </w:rPr>
              <w:t>MO</w:t>
            </w:r>
            <w:r>
              <w:rPr>
                <w:b/>
                <w:position w:val="0"/>
                <w:sz w:val="22"/>
                <w:sz w:val="22"/>
                <w:szCs w:val="22"/>
                <w:vertAlign w:val="baseline"/>
              </w:rPr>
              <w:t xml:space="preserve">, </w:t>
            </w:r>
            <w:r>
              <w:rPr>
                <w:b/>
                <w:sz w:val="22"/>
                <w:szCs w:val="22"/>
              </w:rPr>
              <w:t>%</w:t>
            </w:r>
          </w:p>
        </w:tc>
      </w:tr>
      <w:tr>
        <w:trPr/>
        <w:tc>
          <w:tcPr>
            <w:tcW w:w="9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center"/>
              <w:rPr>
                <w:sz w:val="22"/>
                <w:szCs w:val="22"/>
              </w:rPr>
            </w:pPr>
            <w:r>
              <w:rPr>
                <w:color w:val="009900"/>
                <w:sz w:val="22"/>
                <w:szCs w:val="22"/>
              </w:rPr>
              <w:t>12</w:t>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009900"/>
                <w:sz w:val="22"/>
                <w:szCs w:val="22"/>
              </w:rPr>
              <w:t>-0,04</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rPr>
                <w:color w:val="009900"/>
                <w:sz w:val="22"/>
                <w:szCs w:val="22"/>
              </w:rPr>
            </w:pPr>
            <w:r>
              <w:rPr>
                <w:color w:val="009900"/>
                <w:sz w:val="22"/>
                <w:szCs w:val="22"/>
              </w:rPr>
            </w:r>
          </w:p>
        </w:tc>
        <w:tc>
          <w:tcPr>
            <w:tcW w:w="17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009900"/>
                <w:sz w:val="22"/>
                <w:szCs w:val="22"/>
              </w:rPr>
              <w:t>-0,338540</w:t>
            </w:r>
          </w:p>
        </w:tc>
        <w:tc>
          <w:tcPr>
            <w:tcW w:w="14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009900"/>
                <w:sz w:val="22"/>
                <w:szCs w:val="22"/>
              </w:rPr>
              <w:t>-0,298794</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rPr>
                <w:color w:val="009900"/>
                <w:sz w:val="22"/>
                <w:szCs w:val="22"/>
              </w:rPr>
            </w:pPr>
            <w:r>
              <w:rPr>
                <w:color w:val="009900"/>
                <w:sz w:val="22"/>
                <w:szCs w:val="22"/>
              </w:rPr>
            </w:r>
          </w:p>
        </w:tc>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009900"/>
                <w:sz w:val="22"/>
                <w:szCs w:val="22"/>
              </w:rPr>
              <w:t>-0,298794</w:t>
            </w:r>
          </w:p>
        </w:tc>
        <w:tc>
          <w:tcPr>
            <w:tcW w:w="13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009900"/>
                <w:sz w:val="22"/>
                <w:szCs w:val="22"/>
              </w:rPr>
              <w:t>23,80</w:t>
            </w:r>
          </w:p>
        </w:tc>
      </w:tr>
      <w:tr>
        <w:trPr/>
        <w:tc>
          <w:tcPr>
            <w:tcW w:w="9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center"/>
              <w:rPr>
                <w:sz w:val="22"/>
                <w:szCs w:val="22"/>
              </w:rPr>
            </w:pPr>
            <w:r>
              <w:rPr>
                <w:color w:val="FF9900"/>
                <w:sz w:val="22"/>
                <w:szCs w:val="22"/>
              </w:rPr>
              <w:t>13</w:t>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rPr>
                <w:color w:val="FF9900"/>
                <w:sz w:val="22"/>
                <w:szCs w:val="22"/>
              </w:rPr>
            </w:pPr>
            <w:r>
              <w:rPr>
                <w:color w:val="FF9900"/>
                <w:sz w:val="22"/>
                <w:szCs w:val="22"/>
              </w:rPr>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FF9900"/>
                <w:sz w:val="22"/>
                <w:szCs w:val="22"/>
              </w:rPr>
              <w:t>-0,265744</w:t>
            </w:r>
          </w:p>
        </w:tc>
        <w:tc>
          <w:tcPr>
            <w:tcW w:w="17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FF9900"/>
                <w:sz w:val="22"/>
                <w:szCs w:val="22"/>
              </w:rPr>
              <w:t>-0,3</w:t>
            </w:r>
          </w:p>
        </w:tc>
        <w:tc>
          <w:tcPr>
            <w:tcW w:w="14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rPr>
                <w:color w:val="FF9900"/>
                <w:sz w:val="22"/>
                <w:szCs w:val="22"/>
              </w:rPr>
            </w:pPr>
            <w:r>
              <w:rPr>
                <w:color w:val="FF9900"/>
                <w:sz w:val="22"/>
                <w:szCs w:val="22"/>
              </w:rPr>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FF9900"/>
                <w:sz w:val="22"/>
                <w:szCs w:val="22"/>
              </w:rPr>
              <w:t>-0,033564</w:t>
            </w:r>
          </w:p>
        </w:tc>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FF9900"/>
                <w:sz w:val="22"/>
                <w:szCs w:val="22"/>
              </w:rPr>
              <w:t>-0,033564</w:t>
            </w:r>
          </w:p>
        </w:tc>
        <w:tc>
          <w:tcPr>
            <w:tcW w:w="13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FF9900"/>
                <w:sz w:val="22"/>
                <w:szCs w:val="22"/>
              </w:rPr>
              <w:t>2,67</w:t>
            </w:r>
          </w:p>
        </w:tc>
      </w:tr>
      <w:tr>
        <w:trPr/>
        <w:tc>
          <w:tcPr>
            <w:tcW w:w="9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center"/>
              <w:rPr>
                <w:sz w:val="22"/>
                <w:szCs w:val="22"/>
              </w:rPr>
            </w:pPr>
            <w:r>
              <w:rPr>
                <w:color w:val="FF0000"/>
                <w:sz w:val="22"/>
                <w:szCs w:val="22"/>
              </w:rPr>
              <w:t>14*</w:t>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rPr>
                <w:color w:val="FF0000"/>
                <w:sz w:val="22"/>
                <w:szCs w:val="22"/>
              </w:rPr>
            </w:pPr>
            <w:r>
              <w:rPr>
                <w:color w:val="FF0000"/>
                <w:sz w:val="22"/>
                <w:szCs w:val="22"/>
              </w:rPr>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FF0000"/>
                <w:sz w:val="22"/>
                <w:szCs w:val="22"/>
              </w:rPr>
              <w:t>-0,610093</w:t>
            </w:r>
          </w:p>
        </w:tc>
        <w:tc>
          <w:tcPr>
            <w:tcW w:w="17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FF0000"/>
                <w:sz w:val="22"/>
                <w:szCs w:val="22"/>
              </w:rPr>
              <w:t>-0,235372</w:t>
            </w:r>
          </w:p>
        </w:tc>
        <w:tc>
          <w:tcPr>
            <w:tcW w:w="14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rPr>
                <w:color w:val="FF0000"/>
                <w:sz w:val="22"/>
                <w:szCs w:val="22"/>
              </w:rPr>
            </w:pPr>
            <w:r>
              <w:rPr>
                <w:color w:val="FF0000"/>
                <w:sz w:val="22"/>
                <w:szCs w:val="22"/>
              </w:rPr>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FF0000"/>
                <w:sz w:val="22"/>
                <w:szCs w:val="22"/>
              </w:rPr>
              <w:t>0,374721</w:t>
            </w:r>
          </w:p>
        </w:tc>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FF0000"/>
                <w:sz w:val="22"/>
                <w:szCs w:val="22"/>
              </w:rPr>
              <w:t>0,374721</w:t>
            </w:r>
          </w:p>
        </w:tc>
        <w:tc>
          <w:tcPr>
            <w:tcW w:w="13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1"/>
              <w:jc w:val="right"/>
              <w:rPr>
                <w:sz w:val="22"/>
                <w:szCs w:val="22"/>
              </w:rPr>
            </w:pPr>
            <w:r>
              <w:rPr>
                <w:color w:val="FF0000"/>
                <w:sz w:val="22"/>
                <w:szCs w:val="22"/>
              </w:rPr>
              <w:t>-29,85</w:t>
            </w:r>
          </w:p>
        </w:tc>
      </w:tr>
    </w:tbl>
    <w:p>
      <w:pPr>
        <w:pStyle w:val="Normal"/>
        <w:rPr/>
      </w:pPr>
      <w:r>
        <w:rPr/>
      </w:r>
    </w:p>
    <w:tbl>
      <w:tblPr>
        <w:tblW w:w="10772" w:type="dxa"/>
        <w:jc w:val="left"/>
        <w:tblInd w:w="55" w:type="dxa"/>
        <w:tblBorders/>
        <w:tblCellMar>
          <w:top w:w="55" w:type="dxa"/>
          <w:left w:w="55" w:type="dxa"/>
          <w:bottom w:w="55" w:type="dxa"/>
          <w:right w:w="55" w:type="dxa"/>
        </w:tblCellMar>
      </w:tblPr>
      <w:tblGrid>
        <w:gridCol w:w="5386"/>
        <w:gridCol w:w="5386"/>
      </w:tblGrid>
      <w:tr>
        <w:trPr/>
        <w:tc>
          <w:tcPr>
            <w:tcW w:w="5386" w:type="dxa"/>
            <w:tcBorders/>
            <w:shd w:fill="auto" w:val="clear"/>
          </w:tcPr>
          <w:p>
            <w:pPr>
              <w:pStyle w:val="Style21"/>
              <w:jc w:val="center"/>
              <w:rPr>
                <w:rFonts w:ascii="FreeSans" w:hAnsi="FreeSans"/>
                <w:b/>
                <w:b/>
                <w:bCs/>
                <w:sz w:val="20"/>
                <w:szCs w:val="20"/>
              </w:rPr>
            </w:pPr>
            <w:r>
              <w:rPr>
                <w:rFonts w:ascii="FreeSans" w:hAnsi="FreeSans"/>
                <w:b/>
                <w:bCs/>
                <w:sz w:val="20"/>
                <w:szCs w:val="20"/>
              </w:rPr>
              <w:t>MO11;  d=1.3806;  E=-165.101446;  E(MO)=-0.610969</w:t>
            </w:r>
          </w:p>
        </w:tc>
        <w:tc>
          <w:tcPr>
            <w:tcW w:w="5386" w:type="dxa"/>
            <w:tcBorders/>
            <w:shd w:fill="auto" w:val="clear"/>
          </w:tcPr>
          <w:p>
            <w:pPr>
              <w:pStyle w:val="Style21"/>
              <w:jc w:val="center"/>
              <w:rPr>
                <w:rFonts w:ascii="FreeSans" w:hAnsi="FreeSans"/>
                <w:b/>
                <w:b/>
                <w:bCs/>
                <w:sz w:val="20"/>
                <w:szCs w:val="20"/>
              </w:rPr>
            </w:pPr>
            <w:r>
              <w:rPr>
                <w:rFonts w:ascii="FreeSans" w:hAnsi="FreeSans"/>
                <w:b/>
                <w:bCs/>
                <w:sz w:val="20"/>
                <w:szCs w:val="20"/>
              </w:rPr>
              <w:t>MO14;  d=1.3806;  E=-165.101446;  E(MO)=-0.321141</w:t>
            </w:r>
          </w:p>
        </w:tc>
      </w:tr>
      <w:tr>
        <w:trPr/>
        <w:tc>
          <w:tcPr>
            <w:tcW w:w="5386" w:type="dxa"/>
            <w:tcBorders/>
            <w:shd w:fill="auto" w:val="clear"/>
          </w:tcPr>
          <w:p>
            <w:pPr>
              <w:pStyle w:val="Style21"/>
              <w:jc w:val="center"/>
              <w:rPr/>
            </w:pPr>
            <w:r>
              <w:rPr/>
              <w:drawing>
                <wp:inline distT="0" distB="0" distL="0" distR="0">
                  <wp:extent cx="2512695" cy="1768475"/>
                  <wp:effectExtent l="0" t="0" r="0" b="0"/>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4"/>
                          <a:stretch>
                            <a:fillRect/>
                          </a:stretch>
                        </pic:blipFill>
                        <pic:spPr bwMode="auto">
                          <a:xfrm>
                            <a:off x="0" y="0"/>
                            <a:ext cx="2512695" cy="1768475"/>
                          </a:xfrm>
                          <a:prstGeom prst="rect">
                            <a:avLst/>
                          </a:prstGeom>
                        </pic:spPr>
                      </pic:pic>
                    </a:graphicData>
                  </a:graphic>
                </wp:inline>
              </w:drawing>
            </w:r>
          </w:p>
        </w:tc>
        <w:tc>
          <w:tcPr>
            <w:tcW w:w="5386" w:type="dxa"/>
            <w:tcBorders/>
            <w:shd w:fill="auto" w:val="clear"/>
          </w:tcPr>
          <w:p>
            <w:pPr>
              <w:pStyle w:val="Style21"/>
              <w:jc w:val="center"/>
              <w:rPr/>
            </w:pPr>
            <w:r>
              <w:rPr/>
              <w:drawing>
                <wp:inline distT="0" distB="0" distL="0" distR="0">
                  <wp:extent cx="2529205" cy="1795145"/>
                  <wp:effectExtent l="0" t="0" r="0" b="0"/>
                  <wp:docPr id="4"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5" descr=""/>
                          <pic:cNvPicPr>
                            <a:picLocks noChangeAspect="1" noChangeArrowheads="1"/>
                          </pic:cNvPicPr>
                        </pic:nvPicPr>
                        <pic:blipFill>
                          <a:blip r:embed="rId5"/>
                          <a:stretch>
                            <a:fillRect/>
                          </a:stretch>
                        </pic:blipFill>
                        <pic:spPr bwMode="auto">
                          <a:xfrm>
                            <a:off x="0" y="0"/>
                            <a:ext cx="2529205" cy="1795145"/>
                          </a:xfrm>
                          <a:prstGeom prst="rect">
                            <a:avLst/>
                          </a:prstGeom>
                        </pic:spPr>
                      </pic:pic>
                    </a:graphicData>
                  </a:graphic>
                </wp:inline>
              </w:drawing>
            </w:r>
          </w:p>
        </w:tc>
      </w:tr>
      <w:tr>
        <w:trPr/>
        <w:tc>
          <w:tcPr>
            <w:tcW w:w="5386" w:type="dxa"/>
            <w:tcBorders/>
            <w:shd w:fill="auto" w:val="clear"/>
          </w:tcPr>
          <w:p>
            <w:pPr>
              <w:pStyle w:val="Style21"/>
              <w:jc w:val="center"/>
              <w:rPr>
                <w:rFonts w:ascii="FreeSans" w:hAnsi="FreeSans"/>
                <w:sz w:val="20"/>
                <w:szCs w:val="20"/>
              </w:rPr>
            </w:pPr>
            <w:r>
              <w:rPr>
                <w:rFonts w:ascii="FreeSans" w:hAnsi="FreeSans"/>
                <w:sz w:val="20"/>
                <w:szCs w:val="20"/>
              </w:rPr>
            </w:r>
          </w:p>
          <w:p>
            <w:pPr>
              <w:pStyle w:val="Style21"/>
              <w:jc w:val="center"/>
              <w:rPr>
                <w:rFonts w:ascii="FreeSans" w:hAnsi="FreeSans"/>
                <w:b/>
                <w:b/>
                <w:bCs/>
                <w:sz w:val="20"/>
                <w:szCs w:val="20"/>
              </w:rPr>
            </w:pPr>
            <w:r>
              <w:rPr>
                <w:rFonts w:ascii="FreeSans" w:hAnsi="FreeSans"/>
                <w:b/>
                <w:bCs/>
                <w:sz w:val="20"/>
                <w:szCs w:val="20"/>
              </w:rPr>
              <w:t>MO11;  d=11.9138;  E=-164.979265;  E(MO)=-0.546031</w:t>
            </w:r>
          </w:p>
        </w:tc>
        <w:tc>
          <w:tcPr>
            <w:tcW w:w="5386" w:type="dxa"/>
            <w:tcBorders/>
            <w:shd w:fill="auto" w:val="clear"/>
          </w:tcPr>
          <w:p>
            <w:pPr>
              <w:pStyle w:val="Style21"/>
              <w:jc w:val="center"/>
              <w:rPr>
                <w:rFonts w:ascii="FreeSans" w:hAnsi="FreeSans"/>
                <w:sz w:val="20"/>
                <w:szCs w:val="20"/>
              </w:rPr>
            </w:pPr>
            <w:r>
              <w:rPr>
                <w:rFonts w:ascii="FreeSans" w:hAnsi="FreeSans"/>
                <w:sz w:val="20"/>
                <w:szCs w:val="20"/>
              </w:rPr>
            </w:r>
          </w:p>
          <w:p>
            <w:pPr>
              <w:pStyle w:val="Style21"/>
              <w:jc w:val="center"/>
              <w:rPr>
                <w:rFonts w:ascii="FreeSans" w:hAnsi="FreeSans"/>
                <w:b/>
                <w:b/>
                <w:bCs/>
                <w:sz w:val="20"/>
                <w:szCs w:val="20"/>
              </w:rPr>
            </w:pPr>
            <w:r>
              <w:rPr>
                <w:rFonts w:ascii="FreeSans" w:hAnsi="FreeSans"/>
                <w:b/>
                <w:bCs/>
                <w:sz w:val="20"/>
                <w:szCs w:val="20"/>
              </w:rPr>
              <w:t>MO14;  d=11.9138;  E=-164.979265;  E(MO)=-0.537542</w:t>
            </w:r>
          </w:p>
        </w:tc>
      </w:tr>
      <w:tr>
        <w:trPr/>
        <w:tc>
          <w:tcPr>
            <w:tcW w:w="5386" w:type="dxa"/>
            <w:tcBorders/>
            <w:shd w:fill="auto" w:val="clear"/>
          </w:tcPr>
          <w:p>
            <w:pPr>
              <w:pStyle w:val="Style21"/>
              <w:jc w:val="center"/>
              <w:rPr/>
            </w:pPr>
            <w:r>
              <w:rPr/>
              <w:drawing>
                <wp:inline distT="0" distB="0" distL="0" distR="0">
                  <wp:extent cx="2999740" cy="687705"/>
                  <wp:effectExtent l="0" t="0" r="0" b="0"/>
                  <wp:docPr id="5"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3" descr=""/>
                          <pic:cNvPicPr>
                            <a:picLocks noChangeAspect="1" noChangeArrowheads="1"/>
                          </pic:cNvPicPr>
                        </pic:nvPicPr>
                        <pic:blipFill>
                          <a:blip r:embed="rId6"/>
                          <a:stretch>
                            <a:fillRect/>
                          </a:stretch>
                        </pic:blipFill>
                        <pic:spPr bwMode="auto">
                          <a:xfrm>
                            <a:off x="0" y="0"/>
                            <a:ext cx="2999740" cy="687705"/>
                          </a:xfrm>
                          <a:prstGeom prst="rect">
                            <a:avLst/>
                          </a:prstGeom>
                        </pic:spPr>
                      </pic:pic>
                    </a:graphicData>
                  </a:graphic>
                </wp:inline>
              </w:drawing>
            </w:r>
          </w:p>
        </w:tc>
        <w:tc>
          <w:tcPr>
            <w:tcW w:w="5386" w:type="dxa"/>
            <w:tcBorders/>
            <w:shd w:fill="auto" w:val="clear"/>
          </w:tcPr>
          <w:p>
            <w:pPr>
              <w:pStyle w:val="Style21"/>
              <w:jc w:val="center"/>
              <w:rPr/>
            </w:pPr>
            <w:r>
              <w:rPr/>
              <w:drawing>
                <wp:inline distT="0" distB="0" distL="0" distR="0">
                  <wp:extent cx="2989580" cy="747395"/>
                  <wp:effectExtent l="0" t="0" r="0" b="0"/>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7"/>
                          <a:stretch>
                            <a:fillRect/>
                          </a:stretch>
                        </pic:blipFill>
                        <pic:spPr bwMode="auto">
                          <a:xfrm>
                            <a:off x="0" y="0"/>
                            <a:ext cx="2989580" cy="747395"/>
                          </a:xfrm>
                          <a:prstGeom prst="rect">
                            <a:avLst/>
                          </a:prstGeom>
                        </pic:spPr>
                      </pic:pic>
                    </a:graphicData>
                  </a:graphic>
                </wp:inline>
              </w:drawing>
            </w:r>
          </w:p>
        </w:tc>
      </w:tr>
    </w:tbl>
    <w:p>
      <w:pPr>
        <w:pStyle w:val="Normal"/>
        <w:jc w:val="center"/>
        <w:rPr>
          <w:sz w:val="26"/>
          <w:szCs w:val="26"/>
        </w:rPr>
      </w:pPr>
      <w:r>
        <w:rPr/>
      </w:r>
    </w:p>
    <w:p>
      <w:pPr>
        <w:pStyle w:val="Normal"/>
        <w:jc w:val="center"/>
        <w:rPr/>
      </w:pPr>
      <w:r>
        <w:rPr>
          <w:sz w:val="26"/>
          <w:szCs w:val="26"/>
        </w:rPr>
        <w:t xml:space="preserve">Рис. </w:t>
      </w:r>
      <w:r>
        <w:rPr>
          <w:sz w:val="26"/>
          <w:szCs w:val="26"/>
        </w:rPr>
        <w:t>3</w:t>
      </w:r>
      <w:r>
        <w:rPr>
          <w:sz w:val="26"/>
          <w:szCs w:val="26"/>
        </w:rPr>
        <w:t>. Особый случай, трансформация МО11 и МО14 NH</w:t>
      </w:r>
      <w:r>
        <w:rPr>
          <w:sz w:val="26"/>
          <w:szCs w:val="26"/>
          <w:vertAlign w:val="subscript"/>
        </w:rPr>
        <w:t>2</w:t>
      </w:r>
      <w:r>
        <w:rPr>
          <w:sz w:val="26"/>
          <w:szCs w:val="26"/>
        </w:rPr>
        <w:t>N</w:t>
      </w:r>
      <w:r>
        <w:rPr>
          <w:sz w:val="26"/>
          <w:szCs w:val="26"/>
          <w:vertAlign w:val="subscript"/>
        </w:rPr>
        <w:t>2</w:t>
      </w:r>
      <w:r>
        <w:rPr>
          <w:sz w:val="26"/>
          <w:szCs w:val="26"/>
          <w:vertAlign w:val="superscript"/>
        </w:rPr>
        <w:t>+</w:t>
      </w:r>
      <w:r>
        <w:rPr>
          <w:position w:val="0"/>
          <w:sz w:val="26"/>
          <w:sz w:val="26"/>
          <w:szCs w:val="26"/>
          <w:vertAlign w:val="baseline"/>
        </w:rPr>
        <w:t>,</w:t>
      </w:r>
      <w:r>
        <w:rPr>
          <w:sz w:val="26"/>
          <w:szCs w:val="26"/>
        </w:rPr>
        <w:t xml:space="preserve"> в молекулярные орбитали N</w:t>
      </w:r>
      <w:r>
        <w:rPr>
          <w:sz w:val="26"/>
          <w:szCs w:val="26"/>
          <w:vertAlign w:val="subscript"/>
        </w:rPr>
        <w:t>2</w:t>
      </w:r>
      <w:r>
        <w:rPr>
          <w:sz w:val="26"/>
          <w:szCs w:val="26"/>
        </w:rPr>
        <w:t xml:space="preserve"> и NH</w:t>
      </w:r>
      <w:r>
        <w:rPr>
          <w:sz w:val="26"/>
          <w:szCs w:val="26"/>
          <w:vertAlign w:val="subscript"/>
        </w:rPr>
        <w:t>2</w:t>
      </w:r>
      <w:r>
        <w:rPr>
          <w:sz w:val="26"/>
          <w:szCs w:val="26"/>
          <w:vertAlign w:val="superscript"/>
        </w:rPr>
        <w:t>+</w:t>
      </w:r>
      <w:r>
        <w:rPr>
          <w:sz w:val="26"/>
          <w:szCs w:val="26"/>
        </w:rPr>
        <w:t xml:space="preserve"> соответственно, с очень медленным разделением, вплоть до d(NH</w:t>
      </w:r>
      <w:r>
        <w:rPr>
          <w:sz w:val="26"/>
          <w:szCs w:val="26"/>
          <w:vertAlign w:val="subscript"/>
        </w:rPr>
        <w:t>2</w:t>
      </w:r>
      <w:r>
        <w:rPr>
          <w:sz w:val="26"/>
          <w:szCs w:val="26"/>
          <w:vertAlign w:val="superscript"/>
        </w:rPr>
        <w:t>+</w:t>
      </w:r>
      <w:r>
        <w:rPr>
          <w:sz w:val="26"/>
          <w:szCs w:val="26"/>
        </w:rPr>
        <w:t>—N</w:t>
      </w:r>
      <w:r>
        <w:rPr>
          <w:sz w:val="26"/>
          <w:szCs w:val="26"/>
          <w:vertAlign w:val="subscript"/>
        </w:rPr>
        <w:t>2</w:t>
      </w:r>
      <w:r>
        <w:rPr>
          <w:sz w:val="26"/>
          <w:szCs w:val="26"/>
        </w:rPr>
        <w:t>)&gt;50Å</w:t>
      </w:r>
    </w:p>
    <w:p>
      <w:pPr>
        <w:pStyle w:val="Normal"/>
        <w:jc w:val="center"/>
        <w:rPr>
          <w:sz w:val="26"/>
          <w:szCs w:val="26"/>
        </w:rPr>
      </w:pPr>
      <w:r>
        <w:rPr/>
      </w:r>
    </w:p>
    <w:p>
      <w:pPr>
        <w:pStyle w:val="Normal"/>
        <w:jc w:val="right"/>
        <w:rPr/>
      </w:pPr>
      <w:r>
        <w:rPr/>
        <w:t xml:space="preserve">Таблица </w:t>
      </w:r>
      <w:r>
        <w:rPr/>
        <w:t>2</w:t>
      </w:r>
      <w:r>
        <w:rPr/>
        <w:t>.</w:t>
      </w:r>
    </w:p>
    <w:p>
      <w:pPr>
        <w:pStyle w:val="Normal"/>
        <w:jc w:val="center"/>
        <w:rPr/>
      </w:pPr>
      <w:r>
        <w:rPr/>
        <w:t>Структурные параметры частиц в системе [NH</w:t>
      </w:r>
      <w:r>
        <w:rPr>
          <w:vertAlign w:val="subscript"/>
        </w:rPr>
        <w:t>2</w:t>
      </w:r>
      <w:r>
        <w:rPr>
          <w:position w:val="0"/>
          <w:sz w:val="24"/>
          <w:sz w:val="24"/>
          <w:vertAlign w:val="baseline"/>
        </w:rPr>
        <w:t xml:space="preserve"> </w:t>
      </w:r>
      <w:r>
        <w:rPr/>
        <w:t>+ N</w:t>
      </w:r>
      <w:r>
        <w:rPr>
          <w:vertAlign w:val="subscript"/>
        </w:rPr>
        <w:t>2</w:t>
      </w:r>
      <w:r>
        <w:rPr/>
        <w:t>]</w:t>
      </w:r>
      <w:r>
        <w:rPr>
          <w:vertAlign w:val="superscript"/>
        </w:rPr>
        <w:t>+</w:t>
      </w:r>
    </w:p>
    <w:tbl>
      <w:tblPr>
        <w:tblW w:w="10772"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795"/>
        <w:gridCol w:w="1795"/>
        <w:gridCol w:w="1790"/>
        <w:gridCol w:w="1798"/>
        <w:gridCol w:w="1795"/>
        <w:gridCol w:w="1798"/>
      </w:tblGrid>
      <w:tr>
        <w:trPr/>
        <w:tc>
          <w:tcPr>
            <w:tcW w:w="179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b/>
                <w:bCs/>
              </w:rPr>
              <w:t>Compound</w:t>
            </w:r>
          </w:p>
        </w:tc>
        <w:tc>
          <w:tcPr>
            <w:tcW w:w="179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b/>
                <w:b/>
                <w:bCs/>
              </w:rPr>
            </w:pPr>
            <w:r>
              <w:rPr>
                <w:b/>
                <w:bCs/>
              </w:rPr>
              <w:t>d(NH</w:t>
            </w:r>
            <w:r>
              <w:rPr>
                <w:b/>
                <w:bCs/>
                <w:vertAlign w:val="subscript"/>
              </w:rPr>
              <w:t>2</w:t>
            </w:r>
            <w:r>
              <w:rPr>
                <w:b/>
                <w:bCs/>
              </w:rPr>
              <w:t>—N</w:t>
            </w:r>
            <w:r>
              <w:rPr>
                <w:b/>
                <w:bCs/>
                <w:vertAlign w:val="subscript"/>
              </w:rPr>
              <w:t>2</w:t>
            </w:r>
            <w:r>
              <w:rPr>
                <w:b/>
                <w:bCs/>
              </w:rPr>
              <w:t xml:space="preserve">), </w:t>
            </w:r>
            <w:r>
              <w:rPr>
                <w:rFonts w:eastAsia="Noto Sans CJK SC DemiLight" w:cs="FreeSans"/>
                <w:b/>
                <w:bCs/>
              </w:rPr>
              <w:t>Å</w:t>
            </w:r>
          </w:p>
        </w:tc>
        <w:tc>
          <w:tcPr>
            <w:tcW w:w="179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b/>
                <w:b/>
                <w:bCs/>
              </w:rPr>
            </w:pPr>
            <w:r>
              <w:rPr>
                <w:b/>
                <w:bCs/>
              </w:rPr>
              <w:t xml:space="preserve">d(N-N), </w:t>
            </w:r>
            <w:r>
              <w:rPr>
                <w:rFonts w:eastAsia="Noto Sans CJK SC DemiLight" w:cs="FreeSans"/>
                <w:b/>
                <w:bCs/>
              </w:rPr>
              <w:t>Å</w:t>
            </w:r>
          </w:p>
        </w:tc>
        <w:tc>
          <w:tcPr>
            <w:tcW w:w="179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b/>
                <w:b/>
                <w:bCs/>
              </w:rPr>
            </w:pPr>
            <w:r>
              <w:rPr>
                <w:b/>
                <w:bCs/>
              </w:rPr>
              <w:t xml:space="preserve">d(N-H), </w:t>
            </w:r>
            <w:r>
              <w:rPr>
                <w:rFonts w:eastAsia="Noto Sans CJK SC DemiLight" w:cs="FreeSans"/>
                <w:b/>
                <w:bCs/>
              </w:rPr>
              <w:t>Å</w:t>
            </w:r>
          </w:p>
        </w:tc>
        <w:tc>
          <w:tcPr>
            <w:tcW w:w="179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b/>
                <w:b/>
                <w:bCs/>
              </w:rPr>
            </w:pPr>
            <w:r>
              <w:rPr>
                <w:rFonts w:eastAsia="Noto Sans CJK SC DemiLight" w:cs="FreeSans" w:ascii="Standard Symbols L" w:hAnsi="Standard Symbols L"/>
                <w:b/>
                <w:bCs/>
                <w:sz w:val="20"/>
                <w:szCs w:val="20"/>
              </w:rPr>
              <w:t>Ð</w:t>
            </w:r>
            <w:r>
              <w:rPr>
                <w:b/>
                <w:bCs/>
              </w:rPr>
              <w:t>(H-N-H)</w:t>
            </w:r>
          </w:p>
        </w:tc>
        <w:tc>
          <w:tcPr>
            <w:tcW w:w="17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21"/>
              <w:jc w:val="center"/>
              <w:rPr>
                <w:b/>
                <w:b/>
                <w:bCs/>
              </w:rPr>
            </w:pPr>
            <w:r>
              <w:rPr>
                <w:rFonts w:eastAsia="Noto Sans CJK SC DemiLight" w:cs="FreeSans" w:ascii="Standard Symbols L" w:hAnsi="Standard Symbols L"/>
                <w:b/>
                <w:bCs/>
                <w:sz w:val="20"/>
                <w:szCs w:val="20"/>
              </w:rPr>
              <w:t>Ð</w:t>
            </w:r>
            <w:r>
              <w:rPr>
                <w:b/>
                <w:bCs/>
              </w:rPr>
              <w:t>(N-N-N)</w:t>
            </w:r>
          </w:p>
        </w:tc>
      </w:tr>
      <w:tr>
        <w:trPr/>
        <w:tc>
          <w:tcPr>
            <w:tcW w:w="179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N</w:t>
            </w:r>
            <w:r>
              <w:rPr>
                <w:vertAlign w:val="subscript"/>
              </w:rPr>
              <w:t>2</w:t>
            </w:r>
          </w:p>
        </w:tc>
        <w:tc>
          <w:tcPr>
            <w:tcW w:w="179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w:t>
            </w:r>
          </w:p>
        </w:tc>
        <w:tc>
          <w:tcPr>
            <w:tcW w:w="179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1.104</w:t>
            </w:r>
          </w:p>
        </w:tc>
        <w:tc>
          <w:tcPr>
            <w:tcW w:w="179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w:t>
            </w:r>
          </w:p>
        </w:tc>
        <w:tc>
          <w:tcPr>
            <w:tcW w:w="179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w:t>
            </w:r>
          </w:p>
        </w:tc>
        <w:tc>
          <w:tcPr>
            <w:tcW w:w="17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21"/>
              <w:jc w:val="center"/>
              <w:rPr/>
            </w:pPr>
            <w:r>
              <w:rPr/>
              <w:t>-</w:t>
            </w:r>
          </w:p>
        </w:tc>
      </w:tr>
      <w:tr>
        <w:trPr/>
        <w:tc>
          <w:tcPr>
            <w:tcW w:w="179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NH</w:t>
            </w:r>
            <w:r>
              <w:rPr>
                <w:vertAlign w:val="subscript"/>
              </w:rPr>
              <w:t>2</w:t>
            </w:r>
            <w:r>
              <w:rPr>
                <w:vertAlign w:val="superscript"/>
              </w:rPr>
              <w:t>+</w:t>
            </w:r>
          </w:p>
        </w:tc>
        <w:tc>
          <w:tcPr>
            <w:tcW w:w="179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w:t>
            </w:r>
          </w:p>
        </w:tc>
        <w:tc>
          <w:tcPr>
            <w:tcW w:w="179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w:t>
            </w:r>
          </w:p>
        </w:tc>
        <w:tc>
          <w:tcPr>
            <w:tcW w:w="179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1.062</w:t>
            </w:r>
          </w:p>
        </w:tc>
        <w:tc>
          <w:tcPr>
            <w:tcW w:w="179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107.0</w:t>
            </w:r>
          </w:p>
        </w:tc>
        <w:tc>
          <w:tcPr>
            <w:tcW w:w="17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21"/>
              <w:jc w:val="center"/>
              <w:rPr/>
            </w:pPr>
            <w:r>
              <w:rPr/>
              <w:t>-</w:t>
            </w:r>
          </w:p>
        </w:tc>
      </w:tr>
      <w:tr>
        <w:trPr/>
        <w:tc>
          <w:tcPr>
            <w:tcW w:w="179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N</w:t>
            </w:r>
            <w:r>
              <w:rPr>
                <w:vertAlign w:val="subscript"/>
              </w:rPr>
              <w:t>2</w:t>
            </w:r>
            <w:r>
              <w:rPr>
                <w:vertAlign w:val="superscript"/>
              </w:rPr>
              <w:t>+</w:t>
            </w:r>
          </w:p>
        </w:tc>
        <w:tc>
          <w:tcPr>
            <w:tcW w:w="179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w:t>
            </w:r>
          </w:p>
        </w:tc>
        <w:tc>
          <w:tcPr>
            <w:tcW w:w="179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1.117</w:t>
            </w:r>
          </w:p>
        </w:tc>
        <w:tc>
          <w:tcPr>
            <w:tcW w:w="179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w:t>
            </w:r>
          </w:p>
        </w:tc>
        <w:tc>
          <w:tcPr>
            <w:tcW w:w="179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w:t>
            </w:r>
          </w:p>
        </w:tc>
        <w:tc>
          <w:tcPr>
            <w:tcW w:w="17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21"/>
              <w:jc w:val="center"/>
              <w:rPr/>
            </w:pPr>
            <w:r>
              <w:rPr/>
              <w:t>-</w:t>
            </w:r>
          </w:p>
        </w:tc>
      </w:tr>
      <w:tr>
        <w:trPr/>
        <w:tc>
          <w:tcPr>
            <w:tcW w:w="179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NH</w:t>
            </w:r>
            <w:r>
              <w:rPr>
                <w:vertAlign w:val="subscript"/>
              </w:rPr>
              <w:t>2</w:t>
            </w:r>
          </w:p>
        </w:tc>
        <w:tc>
          <w:tcPr>
            <w:tcW w:w="179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w:t>
            </w:r>
          </w:p>
        </w:tc>
        <w:tc>
          <w:tcPr>
            <w:tcW w:w="179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w:t>
            </w:r>
          </w:p>
        </w:tc>
        <w:tc>
          <w:tcPr>
            <w:tcW w:w="179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1.034</w:t>
            </w:r>
          </w:p>
        </w:tc>
        <w:tc>
          <w:tcPr>
            <w:tcW w:w="179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102.9</w:t>
            </w:r>
          </w:p>
        </w:tc>
        <w:tc>
          <w:tcPr>
            <w:tcW w:w="17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21"/>
              <w:jc w:val="center"/>
              <w:rPr/>
            </w:pPr>
            <w:r>
              <w:rPr/>
              <w:t>-</w:t>
            </w:r>
          </w:p>
        </w:tc>
      </w:tr>
      <w:tr>
        <w:trPr/>
        <w:tc>
          <w:tcPr>
            <w:tcW w:w="179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NH</w:t>
            </w:r>
            <w:r>
              <w:rPr>
                <w:vertAlign w:val="subscript"/>
              </w:rPr>
              <w:t>2</w:t>
            </w:r>
            <w:r>
              <w:rPr/>
              <w:t>N</w:t>
            </w:r>
            <w:r>
              <w:rPr>
                <w:vertAlign w:val="subscript"/>
              </w:rPr>
              <w:t>2</w:t>
            </w:r>
            <w:r>
              <w:rPr>
                <w:vertAlign w:val="superscript"/>
              </w:rPr>
              <w:t>+</w:t>
            </w:r>
            <w:r>
              <w:rPr/>
              <w:t xml:space="preserve"> (optim)</w:t>
            </w:r>
          </w:p>
        </w:tc>
        <w:tc>
          <w:tcPr>
            <w:tcW w:w="179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1.288</w:t>
            </w:r>
          </w:p>
        </w:tc>
        <w:tc>
          <w:tcPr>
            <w:tcW w:w="179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1.116</w:t>
            </w:r>
          </w:p>
        </w:tc>
        <w:tc>
          <w:tcPr>
            <w:tcW w:w="179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1.024</w:t>
            </w:r>
          </w:p>
        </w:tc>
        <w:tc>
          <w:tcPr>
            <w:tcW w:w="179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121.1</w:t>
            </w:r>
          </w:p>
        </w:tc>
        <w:tc>
          <w:tcPr>
            <w:tcW w:w="17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21"/>
              <w:jc w:val="center"/>
              <w:rPr/>
            </w:pPr>
            <w:r>
              <w:rPr/>
              <w:t>175.7</w:t>
            </w:r>
          </w:p>
        </w:tc>
      </w:tr>
      <w:tr>
        <w:trPr/>
        <w:tc>
          <w:tcPr>
            <w:tcW w:w="179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[NH</w:t>
            </w:r>
            <w:r>
              <w:rPr>
                <w:vertAlign w:val="subscript"/>
              </w:rPr>
              <w:t>2</w:t>
            </w:r>
            <w:r>
              <w:rPr>
                <w:position w:val="0"/>
                <w:sz w:val="24"/>
                <w:sz w:val="24"/>
                <w:vertAlign w:val="baseline"/>
              </w:rPr>
              <w:t xml:space="preserve"> </w:t>
            </w:r>
            <w:r>
              <w:rPr/>
              <w:t>+ N</w:t>
            </w:r>
            <w:r>
              <w:rPr>
                <w:vertAlign w:val="subscript"/>
              </w:rPr>
              <w:t>2</w:t>
            </w:r>
            <w:r>
              <w:rPr/>
              <w:t>]</w:t>
            </w:r>
            <w:r>
              <w:rPr>
                <w:vertAlign w:val="superscript"/>
              </w:rPr>
              <w:t>+</w:t>
            </w:r>
          </w:p>
        </w:tc>
        <w:tc>
          <w:tcPr>
            <w:tcW w:w="179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16.9</w:t>
            </w:r>
          </w:p>
        </w:tc>
        <w:tc>
          <w:tcPr>
            <w:tcW w:w="179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1.106</w:t>
            </w:r>
          </w:p>
        </w:tc>
        <w:tc>
          <w:tcPr>
            <w:tcW w:w="179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1.051</w:t>
            </w:r>
          </w:p>
        </w:tc>
        <w:tc>
          <w:tcPr>
            <w:tcW w:w="179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105.9</w:t>
            </w:r>
          </w:p>
        </w:tc>
        <w:tc>
          <w:tcPr>
            <w:tcW w:w="17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21"/>
              <w:jc w:val="center"/>
              <w:rPr/>
            </w:pPr>
            <w:r>
              <w:rPr/>
              <w:t>-</w:t>
            </w:r>
          </w:p>
        </w:tc>
      </w:tr>
      <w:tr>
        <w:trPr/>
        <w:tc>
          <w:tcPr>
            <w:tcW w:w="179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[NH</w:t>
            </w:r>
            <w:r>
              <w:rPr>
                <w:vertAlign w:val="subscript"/>
              </w:rPr>
              <w:t>2</w:t>
            </w:r>
            <w:r>
              <w:rPr>
                <w:position w:val="0"/>
                <w:sz w:val="24"/>
                <w:sz w:val="24"/>
                <w:vertAlign w:val="baseline"/>
              </w:rPr>
              <w:t xml:space="preserve"> </w:t>
            </w:r>
            <w:r>
              <w:rPr/>
              <w:t>+ N</w:t>
            </w:r>
            <w:r>
              <w:rPr>
                <w:vertAlign w:val="subscript"/>
              </w:rPr>
              <w:t>2</w:t>
            </w:r>
            <w:r>
              <w:rPr/>
              <w:t>]</w:t>
            </w:r>
            <w:r>
              <w:rPr>
                <w:vertAlign w:val="superscript"/>
              </w:rPr>
              <w:t>+</w:t>
            </w:r>
          </w:p>
        </w:tc>
        <w:tc>
          <w:tcPr>
            <w:tcW w:w="179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50.9</w:t>
            </w:r>
          </w:p>
        </w:tc>
        <w:tc>
          <w:tcPr>
            <w:tcW w:w="179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1.106</w:t>
            </w:r>
          </w:p>
        </w:tc>
        <w:tc>
          <w:tcPr>
            <w:tcW w:w="179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1.051</w:t>
            </w:r>
          </w:p>
        </w:tc>
        <w:tc>
          <w:tcPr>
            <w:tcW w:w="179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105.9</w:t>
            </w:r>
          </w:p>
        </w:tc>
        <w:tc>
          <w:tcPr>
            <w:tcW w:w="17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21"/>
              <w:jc w:val="center"/>
              <w:rPr/>
            </w:pPr>
            <w:r>
              <w:rPr/>
              <w:t>-</w:t>
            </w:r>
          </w:p>
        </w:tc>
      </w:tr>
    </w:tbl>
    <w:p>
      <w:pPr>
        <w:pStyle w:val="Normal"/>
        <w:rPr/>
      </w:pPr>
      <w:r>
        <w:rPr/>
      </w:r>
    </w:p>
    <w:p>
      <w:pPr>
        <w:pStyle w:val="Normal"/>
        <w:jc w:val="right"/>
        <w:rPr/>
      </w:pPr>
      <w:r>
        <w:rPr/>
        <w:t xml:space="preserve">Таблица </w:t>
      </w:r>
      <w:r>
        <w:rPr/>
        <w:t>3</w:t>
      </w:r>
      <w:r>
        <w:rPr/>
        <w:t>.</w:t>
      </w:r>
    </w:p>
    <w:p>
      <w:pPr>
        <w:pStyle w:val="Normal"/>
        <w:jc w:val="center"/>
        <w:rPr/>
      </w:pPr>
      <w:r>
        <w:rPr/>
        <w:t>Термодинамика разли</w:t>
      </w:r>
      <w:r>
        <w:rPr/>
        <w:t>ч</w:t>
      </w:r>
      <w:r>
        <w:rPr/>
        <w:t>ных вариантов распада NH</w:t>
      </w:r>
      <w:r>
        <w:rPr>
          <w:vertAlign w:val="subscript"/>
        </w:rPr>
        <w:t>2</w:t>
      </w:r>
      <w:r>
        <w:rPr/>
        <w:t>N</w:t>
      </w:r>
      <w:r>
        <w:rPr>
          <w:vertAlign w:val="subscript"/>
        </w:rPr>
        <w:t>2</w:t>
      </w:r>
      <w:r>
        <w:rPr>
          <w:vertAlign w:val="superscript"/>
        </w:rPr>
        <w:t>+</w:t>
      </w:r>
    </w:p>
    <w:tbl>
      <w:tblPr>
        <w:tblW w:w="10772"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3590"/>
        <w:gridCol w:w="1793"/>
        <w:gridCol w:w="1794"/>
        <w:gridCol w:w="1793"/>
        <w:gridCol w:w="1802"/>
      </w:tblGrid>
      <w:tr>
        <w:trPr/>
        <w:tc>
          <w:tcPr>
            <w:tcW w:w="359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b/>
                <w:b/>
                <w:bCs/>
              </w:rPr>
            </w:pPr>
            <w:r>
              <w:rPr>
                <w:b/>
                <w:bCs/>
              </w:rPr>
              <w:t>Reaction</w:t>
            </w:r>
          </w:p>
        </w:tc>
        <w:tc>
          <w:tcPr>
            <w:tcW w:w="17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b/>
                <w:b/>
                <w:bCs/>
              </w:rPr>
            </w:pPr>
            <w:r>
              <w:rPr>
                <w:rFonts w:ascii="Standard Symbols L" w:hAnsi="Standard Symbols L"/>
                <w:b/>
                <w:bCs/>
                <w:sz w:val="20"/>
                <w:szCs w:val="20"/>
              </w:rPr>
              <w:t>D</w:t>
            </w:r>
            <w:r>
              <w:rPr>
                <w:b/>
                <w:bCs/>
              </w:rPr>
              <w:t>E</w:t>
            </w:r>
            <w:r>
              <w:rPr>
                <w:b/>
                <w:bCs/>
                <w:vertAlign w:val="subscript"/>
              </w:rPr>
              <w:t>0</w:t>
            </w:r>
            <w:r>
              <w:rPr>
                <w:b/>
                <w:bCs/>
              </w:rPr>
              <w:t>, kJ/mol</w:t>
            </w:r>
          </w:p>
        </w:tc>
        <w:tc>
          <w:tcPr>
            <w:tcW w:w="179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b/>
                <w:b/>
                <w:bCs/>
              </w:rPr>
            </w:pPr>
            <w:r>
              <w:rPr>
                <w:rFonts w:ascii="Standard Symbols L" w:hAnsi="Standard Symbols L"/>
                <w:b/>
                <w:bCs/>
                <w:sz w:val="20"/>
                <w:szCs w:val="20"/>
              </w:rPr>
              <w:t>D</w:t>
            </w:r>
            <w:r>
              <w:rPr>
                <w:b/>
                <w:bCs/>
              </w:rPr>
              <w:t>G</w:t>
            </w:r>
            <w:r>
              <w:rPr>
                <w:b/>
                <w:bCs/>
                <w:vertAlign w:val="superscript"/>
              </w:rPr>
              <w:t>298</w:t>
            </w:r>
            <w:r>
              <w:rPr>
                <w:b/>
                <w:bCs/>
                <w:position w:val="0"/>
                <w:sz w:val="24"/>
                <w:sz w:val="24"/>
                <w:vertAlign w:val="baseline"/>
              </w:rPr>
              <w:t>, kJ/mol</w:t>
            </w:r>
          </w:p>
        </w:tc>
        <w:tc>
          <w:tcPr>
            <w:tcW w:w="17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b/>
                <w:b/>
                <w:bCs/>
              </w:rPr>
            </w:pPr>
            <w:r>
              <w:rPr>
                <w:rFonts w:ascii="Standard Symbols L" w:hAnsi="Standard Symbols L"/>
                <w:b/>
                <w:bCs/>
                <w:sz w:val="20"/>
                <w:szCs w:val="20"/>
              </w:rPr>
              <w:t>D</w:t>
            </w:r>
            <w:r>
              <w:rPr>
                <w:b/>
                <w:bCs/>
              </w:rPr>
              <w:t>H</w:t>
            </w:r>
            <w:r>
              <w:rPr>
                <w:b/>
                <w:bCs/>
                <w:vertAlign w:val="superscript"/>
              </w:rPr>
              <w:t>298</w:t>
            </w:r>
            <w:r>
              <w:rPr>
                <w:b/>
                <w:bCs/>
              </w:rPr>
              <w:t>, kJ/mol</w:t>
            </w:r>
          </w:p>
        </w:tc>
        <w:tc>
          <w:tcPr>
            <w:tcW w:w="18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21"/>
              <w:jc w:val="center"/>
              <w:rPr>
                <w:b/>
                <w:b/>
                <w:bCs/>
              </w:rPr>
            </w:pPr>
            <w:r>
              <w:rPr>
                <w:rFonts w:ascii="Standard Symbols L" w:hAnsi="Standard Symbols L"/>
                <w:b/>
                <w:bCs/>
                <w:sz w:val="20"/>
                <w:szCs w:val="20"/>
              </w:rPr>
              <w:t>D</w:t>
            </w:r>
            <w:r>
              <w:rPr>
                <w:b/>
                <w:bCs/>
              </w:rPr>
              <w:t>S*298</w:t>
            </w:r>
          </w:p>
        </w:tc>
      </w:tr>
      <w:tr>
        <w:trPr/>
        <w:tc>
          <w:tcPr>
            <w:tcW w:w="359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s-NH</w:t>
            </w:r>
            <w:r>
              <w:rPr>
                <w:position w:val="-4"/>
                <w:sz w:val="19"/>
              </w:rPr>
              <w:t>2</w:t>
            </w:r>
            <w:r>
              <w:rPr/>
              <w:t>N</w:t>
            </w:r>
            <w:r>
              <w:rPr>
                <w:position w:val="-4"/>
                <w:sz w:val="19"/>
              </w:rPr>
              <w:t>2</w:t>
            </w:r>
            <w:r>
              <w:rPr>
                <w:vertAlign w:val="superscript"/>
              </w:rPr>
              <w:t>+</w:t>
            </w:r>
            <w:r>
              <w:rPr/>
              <w:t xml:space="preserve"> = s-NH</w:t>
            </w:r>
            <w:r>
              <w:rPr>
                <w:position w:val="-4"/>
                <w:sz w:val="19"/>
              </w:rPr>
              <w:t>2</w:t>
            </w:r>
            <w:r>
              <w:rPr>
                <w:vertAlign w:val="superscript"/>
              </w:rPr>
              <w:t>+</w:t>
            </w:r>
            <w:r>
              <w:rPr/>
              <w:t xml:space="preserve"> + s-N</w:t>
            </w:r>
            <w:r>
              <w:rPr>
                <w:position w:val="-4"/>
                <w:sz w:val="19"/>
              </w:rPr>
              <w:t>2</w:t>
            </w:r>
          </w:p>
        </w:tc>
        <w:tc>
          <w:tcPr>
            <w:tcW w:w="17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369.89</w:t>
            </w:r>
          </w:p>
        </w:tc>
        <w:tc>
          <w:tcPr>
            <w:tcW w:w="179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310.51</w:t>
            </w:r>
          </w:p>
        </w:tc>
        <w:tc>
          <w:tcPr>
            <w:tcW w:w="17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349.26</w:t>
            </w:r>
          </w:p>
        </w:tc>
        <w:tc>
          <w:tcPr>
            <w:tcW w:w="18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21"/>
              <w:jc w:val="center"/>
              <w:rPr/>
            </w:pPr>
            <w:r>
              <w:rPr/>
              <w:t>38.78</w:t>
            </w:r>
          </w:p>
        </w:tc>
      </w:tr>
      <w:tr>
        <w:trPr/>
        <w:tc>
          <w:tcPr>
            <w:tcW w:w="359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s-NH</w:t>
            </w:r>
            <w:r>
              <w:rPr>
                <w:position w:val="-4"/>
                <w:sz w:val="19"/>
              </w:rPr>
              <w:t>2</w:t>
            </w:r>
            <w:r>
              <w:rPr/>
              <w:t>N</w:t>
            </w:r>
            <w:r>
              <w:rPr>
                <w:position w:val="-4"/>
                <w:sz w:val="19"/>
              </w:rPr>
              <w:t>2</w:t>
            </w:r>
            <w:r>
              <w:rPr>
                <w:vertAlign w:val="superscript"/>
              </w:rPr>
              <w:t>+</w:t>
            </w:r>
            <w:r>
              <w:rPr/>
              <w:t xml:space="preserve"> = t-NH</w:t>
            </w:r>
            <w:r>
              <w:rPr>
                <w:position w:val="-4"/>
                <w:sz w:val="19"/>
              </w:rPr>
              <w:t>2</w:t>
            </w:r>
            <w:r>
              <w:rPr>
                <w:vertAlign w:val="superscript"/>
              </w:rPr>
              <w:t>+</w:t>
            </w:r>
            <w:r>
              <w:rPr/>
              <w:t xml:space="preserve"> + s-N</w:t>
            </w:r>
            <w:r>
              <w:rPr>
                <w:position w:val="-4"/>
                <w:sz w:val="19"/>
              </w:rPr>
              <w:t>2</w:t>
            </w:r>
          </w:p>
        </w:tc>
        <w:tc>
          <w:tcPr>
            <w:tcW w:w="17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234.16</w:t>
            </w:r>
          </w:p>
        </w:tc>
        <w:tc>
          <w:tcPr>
            <w:tcW w:w="179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171.93</w:t>
            </w:r>
          </w:p>
        </w:tc>
        <w:tc>
          <w:tcPr>
            <w:tcW w:w="17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211.72</w:t>
            </w:r>
          </w:p>
        </w:tc>
        <w:tc>
          <w:tcPr>
            <w:tcW w:w="18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21"/>
              <w:jc w:val="center"/>
              <w:rPr/>
            </w:pPr>
            <w:r>
              <w:rPr/>
              <w:t>39.82</w:t>
            </w:r>
          </w:p>
        </w:tc>
      </w:tr>
      <w:tr>
        <w:trPr/>
        <w:tc>
          <w:tcPr>
            <w:tcW w:w="359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s-NH</w:t>
            </w:r>
            <w:r>
              <w:rPr>
                <w:position w:val="-4"/>
                <w:sz w:val="19"/>
              </w:rPr>
              <w:t>2</w:t>
            </w:r>
            <w:r>
              <w:rPr/>
              <w:t>N</w:t>
            </w:r>
            <w:r>
              <w:rPr>
                <w:position w:val="-4"/>
                <w:sz w:val="19"/>
              </w:rPr>
              <w:t>2</w:t>
            </w:r>
            <w:r>
              <w:rPr>
                <w:vertAlign w:val="superscript"/>
              </w:rPr>
              <w:t>+</w:t>
            </w:r>
            <w:r>
              <w:rPr/>
              <w:t xml:space="preserve"> = d-NH</w:t>
            </w:r>
            <w:r>
              <w:rPr>
                <w:position w:val="-4"/>
                <w:sz w:val="19"/>
              </w:rPr>
              <w:t>2</w:t>
            </w:r>
            <w:r>
              <w:rPr/>
              <w:t xml:space="preserve"> + d-N</w:t>
            </w:r>
            <w:r>
              <w:rPr>
                <w:position w:val="-4"/>
                <w:sz w:val="19"/>
              </w:rPr>
              <w:t>2</w:t>
            </w:r>
            <w:r>
              <w:rPr>
                <w:vertAlign w:val="superscript"/>
              </w:rPr>
              <w:t>+</w:t>
            </w:r>
          </w:p>
        </w:tc>
        <w:tc>
          <w:tcPr>
            <w:tcW w:w="17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663.78</w:t>
            </w:r>
          </w:p>
        </w:tc>
        <w:tc>
          <w:tcPr>
            <w:tcW w:w="179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603.88</w:t>
            </w:r>
          </w:p>
        </w:tc>
        <w:tc>
          <w:tcPr>
            <w:tcW w:w="17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1"/>
              <w:jc w:val="center"/>
              <w:rPr/>
            </w:pPr>
            <w:r>
              <w:rPr/>
              <w:t>645.97</w:t>
            </w:r>
          </w:p>
        </w:tc>
        <w:tc>
          <w:tcPr>
            <w:tcW w:w="18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21"/>
              <w:jc w:val="center"/>
              <w:rPr/>
            </w:pPr>
            <w:r>
              <w:rPr/>
              <w:t>42.11</w:t>
            </w:r>
          </w:p>
        </w:tc>
      </w:tr>
    </w:tbl>
    <w:p>
      <w:pPr>
        <w:pStyle w:val="Normal"/>
        <w:rPr/>
      </w:pPr>
      <w:r>
        <w:rPr/>
      </w:r>
    </w:p>
    <w:p>
      <w:pPr>
        <w:pStyle w:val="Normal"/>
        <w:widowControl/>
        <w:overflowPunct w:val="false"/>
        <w:bidi w:val="0"/>
        <w:ind w:left="0" w:right="0" w:firstLine="567"/>
        <w:jc w:val="left"/>
        <w:rPr/>
      </w:pPr>
      <w:r>
        <w:rPr/>
        <w:t>На основе данных таблицы 1 и 2 можно сделать вывод, что при распаде NH</w:t>
      </w:r>
      <w:r>
        <w:rPr>
          <w:vertAlign w:val="subscript"/>
        </w:rPr>
        <w:t>2</w:t>
      </w:r>
      <w:r>
        <w:rPr/>
        <w:t>N</w:t>
      </w:r>
      <w:r>
        <w:rPr>
          <w:vertAlign w:val="subscript"/>
        </w:rPr>
        <w:t>2</w:t>
      </w:r>
      <w:r>
        <w:rPr>
          <w:vertAlign w:val="superscript"/>
        </w:rPr>
        <w:t>+</w:t>
      </w:r>
      <w:r>
        <w:rPr/>
        <w:t xml:space="preserve"> наиболее вероятными продуктами будут частицы NH</w:t>
      </w:r>
      <w:r>
        <w:rPr>
          <w:vertAlign w:val="subscript"/>
        </w:rPr>
        <w:t>2</w:t>
      </w:r>
      <w:r>
        <w:rPr>
          <w:vertAlign w:val="superscript"/>
        </w:rPr>
        <w:t>+</w:t>
      </w:r>
      <w:r>
        <w:rPr>
          <w:position w:val="0"/>
          <w:sz w:val="24"/>
          <w:sz w:val="24"/>
          <w:vertAlign w:val="baseline"/>
        </w:rPr>
        <w:t xml:space="preserve"> и молекулярный азот</w:t>
      </w:r>
      <w:r>
        <w:rPr/>
        <w:t>.</w:t>
      </w:r>
    </w:p>
    <w:p>
      <w:pPr>
        <w:pStyle w:val="Normal"/>
        <w:widowControl/>
        <w:overflowPunct w:val="false"/>
        <w:bidi w:val="0"/>
        <w:ind w:left="0" w:right="0" w:firstLine="567"/>
        <w:jc w:val="left"/>
        <w:rPr/>
      </w:pPr>
      <w:r>
        <w:rPr/>
      </w:r>
    </w:p>
    <w:p>
      <w:pPr>
        <w:pStyle w:val="Normal"/>
        <w:widowControl/>
        <w:overflowPunct w:val="false"/>
        <w:bidi w:val="0"/>
        <w:ind w:left="0" w:right="0" w:firstLine="567"/>
        <w:jc w:val="left"/>
        <w:rPr/>
      </w:pPr>
      <w:r>
        <w:rPr/>
      </w:r>
    </w:p>
    <w:p>
      <w:pPr>
        <w:pStyle w:val="Normal"/>
        <w:widowControl/>
        <w:overflowPunct w:val="false"/>
        <w:bidi w:val="0"/>
        <w:ind w:left="0" w:right="0" w:firstLine="567"/>
        <w:jc w:val="both"/>
        <w:rPr>
          <w:b/>
          <w:b/>
          <w:bCs/>
        </w:rPr>
      </w:pPr>
      <w:r>
        <w:rPr>
          <w:b/>
          <w:bCs/>
        </w:rPr>
        <w:t>Методика расчета энергетических диаграмм динамики молекулярных орбиталей</w:t>
      </w:r>
    </w:p>
    <w:p>
      <w:pPr>
        <w:pStyle w:val="Normal"/>
        <w:widowControl/>
        <w:overflowPunct w:val="false"/>
        <w:bidi w:val="0"/>
        <w:ind w:left="0" w:right="0" w:firstLine="567"/>
        <w:jc w:val="both"/>
        <w:rPr/>
      </w:pPr>
      <w:r>
        <w:rPr/>
        <w:t xml:space="preserve">Сначала мы рассчитывали скан поверхности потенциальной энергии СППЭ при увеличении дистанции  </w:t>
      </w:r>
      <w:r>
        <w:rPr>
          <w:b w:val="false"/>
          <w:bCs w:val="false"/>
        </w:rPr>
        <w:t>NH</w:t>
      </w:r>
      <w:r>
        <w:rPr>
          <w:b w:val="false"/>
          <w:bCs w:val="false"/>
          <w:vertAlign w:val="subscript"/>
        </w:rPr>
        <w:t>2</w:t>
      </w:r>
      <w:r>
        <w:rPr>
          <w:b w:val="false"/>
          <w:bCs w:val="false"/>
        </w:rPr>
        <w:t>—N</w:t>
      </w:r>
      <w:r>
        <w:rPr>
          <w:b w:val="false"/>
          <w:bCs w:val="false"/>
          <w:vertAlign w:val="subscript"/>
        </w:rPr>
        <w:t>2</w:t>
      </w:r>
      <w:r>
        <w:rPr/>
        <w:t xml:space="preserve"> от 0.900 </w:t>
      </w:r>
      <w:r>
        <w:rPr>
          <w:rFonts w:eastAsia="Noto Sans CJK SC DemiLight" w:cs="FreeSans"/>
          <w:b w:val="false"/>
          <w:bCs w:val="false"/>
        </w:rPr>
        <w:t>Å</w:t>
      </w:r>
      <w:r>
        <w:rPr/>
        <w:t xml:space="preserve"> до 16.9 </w:t>
      </w:r>
      <w:r>
        <w:rPr>
          <w:rFonts w:eastAsia="Noto Sans CJK SC DemiLight" w:cs="FreeSans"/>
          <w:b w:val="false"/>
          <w:bCs w:val="false"/>
        </w:rPr>
        <w:t>Å</w:t>
      </w:r>
      <w:r>
        <w:rPr/>
        <w:t xml:space="preserve"> с высоким разрешением 800 точек (0.02 </w:t>
      </w:r>
      <w:r>
        <w:rPr>
          <w:rFonts w:eastAsia="Noto Sans CJK SC DemiLight" w:cs="FreeSans"/>
          <w:b w:val="false"/>
          <w:bCs w:val="false"/>
        </w:rPr>
        <w:t>Å</w:t>
      </w:r>
      <w:r>
        <w:rPr/>
        <w:t xml:space="preserve">). Расчет производился с помощью программного комплекса ORCA 3.0.2 методом DFT B3LYP в базисе aug-cc-pVDZ в синглетном состоянии. Выходные данные программного комплекса содержат оптимизированные структурные параметры, значения энергий и волновые функции всех молекулярных орбиталей (МО) в каждой точке исследуемого СППЭ. </w:t>
      </w:r>
    </w:p>
    <w:p>
      <w:pPr>
        <w:pStyle w:val="Normal"/>
        <w:widowControl/>
        <w:overflowPunct w:val="false"/>
        <w:bidi w:val="0"/>
        <w:ind w:left="0" w:right="0" w:firstLine="567"/>
        <w:jc w:val="both"/>
        <w:rPr/>
      </w:pPr>
      <w:r>
        <w:rPr/>
        <w:t xml:space="preserve">По полученным данным построены зависимости энергии всех МО в процессе отщепления азота, можно заметить, что все эти кривые носят непрерывный характер и позволяют проследить энергию каждой МО в динамике при увеличении дистанции </w:t>
      </w:r>
      <w:r>
        <w:rPr>
          <w:b w:val="false"/>
          <w:bCs w:val="false"/>
        </w:rPr>
        <w:t>d(NH</w:t>
      </w:r>
      <w:r>
        <w:rPr>
          <w:b w:val="false"/>
          <w:bCs w:val="false"/>
          <w:vertAlign w:val="subscript"/>
        </w:rPr>
        <w:t>2</w:t>
      </w:r>
      <w:r>
        <w:rPr>
          <w:b w:val="false"/>
          <w:bCs w:val="false"/>
        </w:rPr>
        <w:t>—N</w:t>
      </w:r>
      <w:r>
        <w:rPr>
          <w:b w:val="false"/>
          <w:bCs w:val="false"/>
          <w:vertAlign w:val="subscript"/>
        </w:rPr>
        <w:t>2</w:t>
      </w:r>
      <w:r>
        <w:rPr>
          <w:b w:val="false"/>
          <w:bCs w:val="false"/>
        </w:rPr>
        <w:t>)</w:t>
      </w:r>
      <w:r>
        <w:rPr/>
        <w:t>, вплоть до полного распада с образованием свободных частиц, при этом орбитали исходного катиона трансформируются в орбитали образующихся продуктов распада. Количество орбиталей в исходной молекулярной системе в точности соответствует суммарному количеству орбиталей образующихся фрагментов. Такая процедура отслеживания (трассировки / tracing) МО позволяет выявить, какие орбитали молекулярного азота и катиона NH</w:t>
      </w:r>
      <w:r>
        <w:rPr>
          <w:vertAlign w:val="subscript"/>
        </w:rPr>
        <w:t>2</w:t>
      </w:r>
      <w:r>
        <w:rPr>
          <w:vertAlign w:val="superscript"/>
        </w:rPr>
        <w:t>+</w:t>
      </w:r>
      <w:r>
        <w:rPr>
          <w:position w:val="0"/>
          <w:sz w:val="24"/>
          <w:sz w:val="24"/>
          <w:vertAlign w:val="baseline"/>
        </w:rPr>
        <w:t xml:space="preserve"> </w:t>
      </w:r>
      <w:r>
        <w:rPr/>
        <w:t>становятся молекулярными орбиталями частицы NH</w:t>
      </w:r>
      <w:r>
        <w:rPr>
          <w:vertAlign w:val="subscript"/>
        </w:rPr>
        <w:t>2</w:t>
      </w:r>
      <w:r>
        <w:rPr/>
        <w:t>N</w:t>
      </w:r>
      <w:r>
        <w:rPr>
          <w:vertAlign w:val="subscript"/>
        </w:rPr>
        <w:t>2</w:t>
      </w:r>
      <w:r>
        <w:rPr>
          <w:vertAlign w:val="superscript"/>
        </w:rPr>
        <w:t>+</w:t>
      </w:r>
      <w:r>
        <w:rPr/>
        <w:t>.</w:t>
      </w:r>
    </w:p>
    <w:p>
      <w:pPr>
        <w:pStyle w:val="Normal"/>
        <w:widowControl/>
        <w:overflowPunct w:val="false"/>
        <w:bidi w:val="0"/>
        <w:ind w:left="0" w:right="0" w:firstLine="567"/>
        <w:jc w:val="both"/>
        <w:rPr/>
      </w:pPr>
      <w:r>
        <w:rPr/>
        <w:t>При трансформации (transformation) МО они меняют свою энергию и пространственное строение, однако в большинстве случаев сохраняют свою симметрию. Некоторую сложность для процедуры трассировки представляют точки пересечения графиков МО, где происходит вырождение этих МО по энергии (однако они сильно различаются по распределению электронной плотности), соответственно требуются критерии для выявления соответствия однотипных МО, для этого применяется математический прием экстраполирования энергетических кривых. Для дополнительного контроля в точках пересечения, применяется более надежный (но ресурсно-затратный) метод сравнения пространственного распределения электронной плотности (ЭП), (данные содержатся в Gaussia Cube File). При сравнении пространственного соотвествия рассчитывается среднеквадратичное отклонение  в  пространственном распределении электронной плотности между соседними точками СППЭ. Для выполнения процедуры трассировки и сравнения пространственного распределения ЭП было написано программное обеспечение исходные тексты которого находятся в приложении (Supporting information).</w:t>
      </w:r>
    </w:p>
    <w:p>
      <w:pPr>
        <w:pStyle w:val="Normal"/>
        <w:widowControl/>
        <w:overflowPunct w:val="false"/>
        <w:bidi w:val="0"/>
        <w:ind w:left="0" w:right="0" w:firstLine="567"/>
        <w:jc w:val="both"/>
        <w:rPr/>
      </w:pPr>
      <w:r>
        <w:rPr/>
        <w:t>Процедура выявления соответствия МО исходной частицы и продуктов распада позволяет построить энергетическую диаграмму перехода МО и рассчитать вклад каждой орбитали и вклад каждой частицы N</w:t>
      </w:r>
      <w:r>
        <w:rPr>
          <w:vertAlign w:val="subscript"/>
        </w:rPr>
        <w:t>2</w:t>
      </w:r>
      <w:r>
        <w:rPr/>
        <w:t xml:space="preserve"> и NH</w:t>
      </w:r>
      <w:r>
        <w:rPr>
          <w:vertAlign w:val="subscript"/>
        </w:rPr>
        <w:t>2</w:t>
      </w:r>
      <w:r>
        <w:rPr>
          <w:vertAlign w:val="superscript"/>
        </w:rPr>
        <w:t>+</w:t>
      </w:r>
      <w:r>
        <w:rPr/>
        <w:t xml:space="preserve"> в образование катиона NH</w:t>
      </w:r>
      <w:r>
        <w:rPr>
          <w:vertAlign w:val="subscript"/>
        </w:rPr>
        <w:t>2</w:t>
      </w:r>
      <w:r>
        <w:rPr/>
        <w:t>N</w:t>
      </w:r>
      <w:r>
        <w:rPr>
          <w:vertAlign w:val="subscript"/>
        </w:rPr>
        <w:t>2</w:t>
      </w:r>
      <w:r>
        <w:rPr>
          <w:vertAlign w:val="superscript"/>
        </w:rPr>
        <w:t>+</w:t>
      </w:r>
      <w:r>
        <w:rPr/>
        <w:t>.</w:t>
      </w:r>
    </w:p>
    <w:p>
      <w:pPr>
        <w:pStyle w:val="Normal"/>
        <w:rPr/>
      </w:pPr>
      <w:r>
        <w:rPr/>
      </w:r>
    </w:p>
    <w:p>
      <w:pPr>
        <w:pStyle w:val="Normal"/>
        <w:rPr/>
      </w:pPr>
      <w:r>
        <w:rPr/>
      </w:r>
    </w:p>
    <w:sectPr>
      <w:footerReference w:type="default" r:id="rId8"/>
      <w:type w:val="nextPage"/>
      <w:pgSz w:w="11906" w:h="16838"/>
      <w:pgMar w:left="567" w:right="567" w:header="0" w:top="567" w:footer="567" w:bottom="1126"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tandard Symbols L">
    <w:charset w:val="01"/>
    <w:family w:val="roman"/>
    <w:pitch w:val="variable"/>
  </w:font>
  <w:font w:name="Standard Symbols L">
    <w:charset w:val="02"/>
    <w:family w:val="auto"/>
    <w:pitch w:val="default"/>
  </w:font>
  <w:font w:name="FreeSerif">
    <w:charset w:val="01"/>
    <w:family w:val="auto"/>
    <w:pitch w:val="variable"/>
  </w:font>
  <w:font w:name="FreeSan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jc w:val="right"/>
      <w:rPr/>
    </w:pPr>
    <w:r>
      <w:rPr/>
      <w:fldChar w:fldCharType="begin"/>
    </w:r>
    <w:r>
      <w:instrText> PAGE </w:instrText>
    </w:r>
    <w:r>
      <w:fldChar w:fldCharType="separate"/>
    </w:r>
    <w:r>
      <w:t>4</w:t>
    </w:r>
    <w:r>
      <w:fldChar w:fldCharType="end"/>
    </w:r>
    <w:r>
      <w:rPr/>
      <w:t>/</w:t>
    </w:r>
    <w:r>
      <w:rPr/>
      <w:fldChar w:fldCharType="begin"/>
    </w:r>
    <w:r>
      <w:instrText> NUMPAGES </w:instrText>
    </w:r>
    <w:r>
      <w:fldChar w:fldCharType="separate"/>
    </w:r>
    <w:r>
      <w:t>4</w:t>
    </w:r>
    <w:r>
      <w:fldChar w:fldCharType="end"/>
    </w:r>
  </w:p>
</w:ftr>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DemiLight" w:cs="FreeSans"/>
        <w:sz w:val="20"/>
        <w:szCs w:val="24"/>
        <w:lang w:val="ru-RU"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DemiLight" w:cs="FreeSans"/>
      <w:color w:val="00000A"/>
      <w:sz w:val="24"/>
      <w:szCs w:val="24"/>
      <w:lang w:val="ru-RU" w:eastAsia="zh-CN" w:bidi="hi-IN"/>
    </w:rPr>
  </w:style>
  <w:style w:type="character" w:styleId="Style14">
    <w:name w:val="Интернет-ссылка"/>
    <w:rPr>
      <w:color w:val="000080"/>
      <w:u w:val="single"/>
      <w:lang w:val="zxx" w:eastAsia="zxx" w:bidi="zxx"/>
    </w:rPr>
  </w:style>
  <w:style w:type="paragraph" w:styleId="Style15">
    <w:name w:val="Заголовок"/>
    <w:basedOn w:val="Normal"/>
    <w:next w:val="Style16"/>
    <w:qFormat/>
    <w:pPr>
      <w:keepNext/>
      <w:spacing w:before="240" w:after="120"/>
    </w:pPr>
    <w:rPr>
      <w:rFonts w:ascii="Liberation Sans" w:hAnsi="Liberation Sans" w:eastAsia="Noto Sans CJK SC DemiLight" w:cs="FreeSans"/>
      <w:sz w:val="28"/>
      <w:szCs w:val="28"/>
    </w:rPr>
  </w:style>
  <w:style w:type="paragraph" w:styleId="Style16">
    <w:name w:val="Body Text"/>
    <w:basedOn w:val="Normal"/>
    <w:pPr>
      <w:spacing w:lineRule="auto" w:line="288" w:before="0" w:after="140"/>
    </w:pPr>
    <w:rPr/>
  </w:style>
  <w:style w:type="paragraph" w:styleId="Style17">
    <w:name w:val="List"/>
    <w:basedOn w:val="Style16"/>
    <w:pPr/>
    <w:rPr>
      <w:rFonts w:cs="FreeSans"/>
    </w:rPr>
  </w:style>
  <w:style w:type="paragraph" w:styleId="Style18">
    <w:name w:val="Caption"/>
    <w:basedOn w:val="Normal"/>
    <w:qFormat/>
    <w:pPr>
      <w:suppressLineNumbers/>
      <w:spacing w:before="120" w:after="120"/>
    </w:pPr>
    <w:rPr>
      <w:rFonts w:cs="FreeSans"/>
      <w:i/>
      <w:iCs/>
      <w:sz w:val="24"/>
      <w:szCs w:val="24"/>
    </w:rPr>
  </w:style>
  <w:style w:type="paragraph" w:styleId="Style19">
    <w:name w:val="Указатель"/>
    <w:basedOn w:val="Normal"/>
    <w:qFormat/>
    <w:pPr>
      <w:suppressLineNumbers/>
    </w:pPr>
    <w:rPr>
      <w:rFonts w:cs="FreeSans"/>
    </w:rPr>
  </w:style>
  <w:style w:type="paragraph" w:styleId="Style20">
    <w:name w:val="Footer"/>
    <w:basedOn w:val="Normal"/>
    <w:pPr>
      <w:suppressLineNumbers/>
      <w:tabs>
        <w:tab w:val="center" w:pos="7852" w:leader="none"/>
        <w:tab w:val="right" w:pos="15704" w:leader="none"/>
      </w:tabs>
    </w:pPr>
    <w:rPr/>
  </w:style>
  <w:style w:type="paragraph" w:styleId="Style21">
    <w:name w:val="Содержимое таблицы"/>
    <w:basedOn w:val="Normal"/>
    <w:qFormat/>
    <w:pPr>
      <w:suppressLineNumbers/>
    </w:pPr>
    <w:rPr/>
  </w:style>
  <w:style w:type="paragraph" w:styleId="Style22">
    <w:name w:val="Заголовок таблицы"/>
    <w:basedOn w:val="Style21"/>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737</TotalTime>
  <Application>LibreOffice/5.2.7.2$Linux_X86_64 LibreOffice_project/20m0$Build-2</Application>
  <Pages>4</Pages>
  <Words>688</Words>
  <Characters>4487</Characters>
  <CharactersWithSpaces>4986</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2018-04-20T08:52:24Z</dcterms:created>
  <dc:creator/>
  <dc:description/>
  <dc:language>ru-RU</dc:language>
  <cp:lastModifiedBy>Александр Александрович Бондарев</cp:lastModifiedBy>
  <dcterms:modified xsi:type="dcterms:W3CDTF">2018-10-04T10:21:13Z</dcterms:modified>
  <cp:revision>138</cp:revision>
  <dc:subject/>
  <dc:title/>
</cp:coreProperties>
</file>