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KIỂM THỬ XUẤT WORD</w:t>
      </w:r>
    </w:p>
    <w:p>
      <w:pPr>
        <w:pStyle w:val="Subtitle"/>
        <w:pBdr>
          <w:bottom w:val="single" w:sz="12" w:space="6" w:color="2E74B5"/>
        </w:pBdr>
      </w:pPr>
      <w:r>
        <w:t>Hồ sơ gói thầu và các dữ liệu liên quan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0"/>
        </w:rPr>
        <w:t xml:space="preserve">Loại mẫu: </w:t>
      </w:r>
      <w:r>
        <w:rPr>
          <w:rFonts w:ascii="Calibri" w:hAnsi="Calibri" w:eastAsia="Calibri"/>
          <w:b w:val="0"/>
          <w:i w:val="0"/>
          <w:color w:val="000000"/>
          <w:sz w:val="20"/>
        </w:rPr>
        <w:t>Hợp đồng (để có đủ ngữ cảnh kế hoạch, gói thầu và hợp đồng)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0"/>
        </w:rPr>
        <w:t xml:space="preserve">Mục đích: </w:t>
      </w:r>
      <w:r>
        <w:rPr>
          <w:rFonts w:ascii="Calibri" w:hAnsi="Calibri" w:eastAsia="Calibri"/>
          <w:b w:val="0"/>
          <w:i w:val="0"/>
          <w:color w:val="000000"/>
          <w:sz w:val="20"/>
        </w:rPr>
        <w:t>Kiểm tra dữ liệu thay vào biến và các dòng lặp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0"/>
        </w:rPr>
        <w:t xml:space="preserve">Cú pháp: </w:t>
      </w:r>
      <w:r>
        <w:rPr>
          <w:rFonts w:ascii="Calibri" w:hAnsi="Calibri" w:eastAsia="Calibri"/>
          <w:b w:val="0"/>
          <w:i w:val="0"/>
          <w:color w:val="000000"/>
          <w:sz w:val="20"/>
        </w:rPr>
        <w:t>Biến đơn và danh sách lặp theo cấu hình biến của BiddingFlow</w:t>
      </w:r>
    </w:p>
    <w:p>
      <w:pPr>
        <w:pStyle w:val="Heading1"/>
        <w:keepNext/>
      </w:pPr>
      <w:r>
        <w:t>1. Kế hoạch lựa chọn nhà thầu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Mã kế hoạch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{ma_kh}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Tên kế hoạch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{ten_kh}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Dự án / dự toán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{ten_du_an_du_toan}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Loại kế hoạch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{loai_ke_hoach}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Tổng mức đầu tư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{tong_muc_dau_tu_du_toan}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Nguồn vốn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{kh_nguon_von}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Ngày phê duyệt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{ngay_phe_duyet_kh}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Quyết định phê duyệt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{qd_phe_duyet_kh}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gian đăng tải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{tg_dang_tai_kh}</w:t>
            </w:r>
          </w:p>
        </w:tc>
      </w:tr>
    </w:tbl>
    <w:p>
      <w:pPr>
        <w:spacing w:before="0" w:after="100" w:line="120" w:lineRule="auto"/>
      </w:pPr>
    </w:p>
    <w:p>
      <w:pPr>
        <w:spacing w:after="0"/>
      </w:pPr>
      <w:r>
        <w:br w:type="page"/>
      </w:r>
    </w:p>
    <w:p>
      <w:pPr>
        <w:pStyle w:val="Heading1"/>
        <w:keepNext/>
      </w:pPr>
      <w:r>
        <w:t>2. Thông tin gói thầu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Mã gói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{ma_gt}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Tên gói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{ten_gt}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Giá gói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{gia_gt}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Lĩnh vực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{gt_linh_vuc}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Hình thức LCNT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{hinh_thuc_lcnt}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Phương thức LCNT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{phuong_thuc_lcnt}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Loại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{loai_hd_gt}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gian thực hiện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{tg_thuc_hien_gt}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Nguồn vốn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{gt_nguon_von}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{gt_trang_thai}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Đăng tải TBMT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{tg_dang_tai_tbmt}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Đóng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{tg_dong_thau}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Mở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{tg_mo_thau}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>2.1. Hồ sơ mời thầu / thẩm định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Yêu cầu thẩm định HSMT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{yc_tham_dinh_hsmt}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Báo cáo thẩm định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{so_bc_tham_dinh_hsmt} - {ngay_bc_tham_dinh_hsmt}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Quyết định phê duyệt HSMT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{so_qd_hsmt} - {ngay_qd_hsmt}</w:t>
            </w:r>
          </w:p>
        </w:tc>
      </w:tr>
    </w:tbl>
    <w:p>
      <w:pPr>
        <w:spacing w:before="0" w:after="100" w:line="120" w:lineRule="auto"/>
      </w:pPr>
    </w:p>
    <w:p>
      <w:pPr>
        <w:spacing w:after="0"/>
      </w:pPr>
      <w:r>
        <w:br w:type="page"/>
      </w:r>
    </w:p>
    <w:p>
      <w:pPr>
        <w:pStyle w:val="Heading1"/>
        <w:keepNext/>
      </w:pPr>
      <w:r>
        <w:t>3. Tổ chuyên gia và tổ thẩm định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Note"/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 xml:space="preserve">Kiểm thử dòng lặp: </w:t>
            </w: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</w:rPr>
              <w:t>Mỗi thành viên phải tạo một dòng riêng; không được giữ lại ký hiệu mở/đóng danh sách sau khi xuất.</w:t>
            </w:r>
          </w:p>
        </w:tc>
      </w:tr>
    </w:tbl>
    <w:p>
      <w:pPr>
        <w:spacing w:before="0" w:after="120" w:line="120" w:lineRule="auto"/>
      </w:pPr>
    </w:p>
    <w:p>
      <w:pPr>
        <w:pStyle w:val="Heading2"/>
        <w:keepNext/>
      </w:pPr>
      <w:r>
        <w:t>3.1. Tổ chuyên gia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300"/>
        <w:gridCol w:w="1500"/>
        <w:gridCol w:w="2300"/>
        <w:gridCol w:w="1700"/>
        <w:gridCol w:w="15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Họ và tên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Chức vụ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Công việc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Số chứng chỉ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Ngày cấp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{#ds_to_chuyen_gia}{ho_ten}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{chuc_vu}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{cong_viec}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{so_chung_chi}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{ngay_cap_chung_chi}{/ds_to_chuyen_gia}</w:t>
            </w:r>
          </w:p>
        </w:tc>
      </w:tr>
    </w:tbl>
    <w:p>
      <w:pPr>
        <w:spacing w:before="0" w:after="140" w:line="120" w:lineRule="auto"/>
      </w:pPr>
    </w:p>
    <w:p>
      <w:pPr>
        <w:pStyle w:val="Heading2"/>
        <w:keepNext/>
      </w:pPr>
      <w:r>
        <w:t>3.2. Tổ thẩm định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300"/>
        <w:gridCol w:w="1500"/>
        <w:gridCol w:w="2300"/>
        <w:gridCol w:w="1700"/>
        <w:gridCol w:w="15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Họ và tên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Chức vụ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Công việc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Số chứng chỉ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Ngày cấp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{#ds_to_tham_dinh}{ho_ten}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{chuc_vu}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{cong_viec}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{so_chung_chi}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{ngay_cap_chung_chi}{/ds_to_tham_dinh}</w:t>
            </w:r>
          </w:p>
        </w:tc>
      </w:tr>
    </w:tbl>
    <w:p>
      <w:pPr>
        <w:spacing w:before="0" w:after="140" w:line="120" w:lineRule="auto"/>
      </w:pPr>
    </w:p>
    <w:p>
      <w:pPr>
        <w:pStyle w:val="Heading2"/>
        <w:keepNext/>
      </w:pPr>
      <w:r>
        <w:t>3.3. Mốc đóng - mở thầu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gian đăng tải TBMT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{tg_dang_tai_tbmt}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gian đóng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{tg_dong_thau}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gian mở thầu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{tg_mo_thau}</w:t>
            </w:r>
          </w:p>
        </w:tc>
      </w:tr>
    </w:tbl>
    <w:p>
      <w:pPr>
        <w:spacing w:before="0" w:after="100" w:line="120" w:lineRule="auto"/>
      </w:pPr>
    </w:p>
    <w:p>
      <w:pPr>
        <w:spacing w:after="0"/>
      </w:pPr>
      <w:r>
        <w:br w:type="page"/>
      </w:r>
    </w:p>
    <w:p>
      <w:pPr>
        <w:pStyle w:val="Heading1"/>
        <w:keepNext/>
      </w:pPr>
      <w:r>
        <w:t>4. Thông tin mở thầu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Note"/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 xml:space="preserve">Kiểm thử danh sách: </w:t>
            </w: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</w:rPr>
              <w:t>Hai bảng dưới đây cùng lặp theo ds_mo_thau để đối chiếu dữ liệu tài chính và kết quả đánh giá của từng nhà thầu.</w:t>
            </w:r>
          </w:p>
        </w:tc>
      </w:tr>
    </w:tbl>
    <w:p>
      <w:pPr>
        <w:spacing w:before="0" w:after="120" w:line="120" w:lineRule="auto"/>
      </w:pPr>
    </w:p>
    <w:p>
      <w:pPr>
        <w:pStyle w:val="Heading2"/>
        <w:keepNext/>
      </w:pPr>
      <w:r>
        <w:t>4.1. Giá dự thầu và hiệu lực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200"/>
        <w:gridCol w:w="1150"/>
        <w:gridCol w:w="1600"/>
        <w:gridCol w:w="1300"/>
        <w:gridCol w:w="1700"/>
        <w:gridCol w:w="141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Nhà thầu</w:t>
            </w:r>
          </w:p>
        </w:tc>
        <w:tc>
          <w:tcPr>
            <w:tcW w:type="dxa" w:w="11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Loại</w:t>
            </w:r>
          </w:p>
        </w:tc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Giá dự thầu</w:t>
            </w:r>
          </w:p>
        </w:tc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Giảm giá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Giá sau giảm</w:t>
            </w:r>
          </w:p>
        </w:tc>
        <w:tc>
          <w:tcPr>
            <w:tcW w:type="dxa" w:w="14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Hiệu lực HSDT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{#ds_mo_thau}{ten_nha_thau}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{loai_nha_thau}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{gia_du_thau}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{ty_le_giam_gia}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{gia_sau_giam_gia}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{hieu_luc_hsdt}{/ds_mo_thau}</w:t>
            </w:r>
          </w:p>
        </w:tc>
      </w:tr>
    </w:tbl>
    <w:p>
      <w:pPr>
        <w:spacing w:before="0" w:after="140" w:line="120" w:lineRule="auto"/>
      </w:pPr>
    </w:p>
    <w:p>
      <w:pPr>
        <w:pStyle w:val="Heading2"/>
        <w:keepNext/>
      </w:pPr>
      <w:r>
        <w:t>4.2. Bảo đảm và kết quả đánh giá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900"/>
        <w:gridCol w:w="1500"/>
        <w:gridCol w:w="1200"/>
        <w:gridCol w:w="1200"/>
        <w:gridCol w:w="1200"/>
        <w:gridCol w:w="23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Nhà thầu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Bảo đảm dự thầu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Hợp lệ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Năng lực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Kỹ thuật</w:t>
            </w:r>
          </w:p>
        </w:tc>
        <w:tc>
          <w:tcPr>
            <w:tcW w:type="dxa" w:w="2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Tài chính / Kết luận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{#ds_mo_thau}{ten_nha_thau}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{gia_tri_dam_bao}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{danh_gia_hop_le}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{danh_gia_nang_luc}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{danh_gia_ky_thuat}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{danh_gia_tai_chinh} / {gia_xep_hang} / {danh_gia_ket_luan}{/ds_mo_thau}</w:t>
            </w:r>
          </w:p>
        </w:tc>
      </w:tr>
    </w:tbl>
    <w:p>
      <w:pPr>
        <w:spacing w:before="0" w:after="140" w:line="120" w:lineRule="auto"/>
      </w:pPr>
    </w:p>
    <w:p>
      <w:pPr>
        <w:spacing w:after="0"/>
      </w:pPr>
      <w:r>
        <w:br w:type="page"/>
      </w:r>
    </w:p>
    <w:p>
      <w:pPr>
        <w:pStyle w:val="Heading1"/>
        <w:keepNext/>
      </w:pPr>
      <w:r>
        <w:t>5. Hợp đồng tư vấn / hợp đồng thẩm định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Note"/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1F4D78"/>
                <w:sz w:val="19"/>
              </w:rPr>
              <w:t xml:space="preserve">Cách thử đúng: </w:t>
            </w: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</w:rPr>
              <w:t>Mỗi lượt xuất hiện nạp một hợp đồng liên kết với gói thầu. Hãy dùng cùng mẫu cho hai lượt: lượt 1 với phân loại Tư vấn, lượt 2 với phân loại Thẩm định; đối chiếu trường Phân loại hợp đồng.</w:t>
            </w:r>
          </w:p>
        </w:tc>
      </w:tr>
    </w:tbl>
    <w:p>
      <w:pPr>
        <w:spacing w:before="0" w:after="120" w:line="12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Phân loại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{hd_phan_loai}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Tên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{ten_hd}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Số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{so_hd}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Ngày ký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{ngay_ky_hd}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Giá trị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{hd_gia_tri}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Loại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{loai_hd}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gian thực hiện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{tg_thuc_hien_hd}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 hợp đồng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Body"/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{trang_thai_hd}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>5.1. Tiêu chí xác nhận nhanh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0"/>
        </w:rPr>
        <w:t>Tên, mã, ngày tháng và số tiền khớp dữ liệu trên màn hình.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0"/>
        </w:rPr>
        <w:t>Ngày tháng và tiền tệ đúng định dạng cấu hình của biến.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0"/>
        </w:rPr>
        <w:t>Số dòng chuyên gia, tổ thẩm định và nhà thầu đúng với dữ liệu nguồn.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0"/>
        </w:rPr>
        <w:t>Không còn ký hiệu biến hoặc ký hiệu mở/đóng danh sách trong file đã xuất.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0"/>
        </w:rPr>
        <w:t>Phân loại hợp đồng đúng là Tư vấn hoặc Thẩm định ở từng lượt thử.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b w:val="0"/>
        <w:i w:val="0"/>
        <w:color w:val="5B6573"/>
        <w:sz w:val="17"/>
      </w:rPr>
      <w:t xml:space="preserve">BiddingFlow - Mẫu kiểm thử  |  Trang </w:t>
    </w:r>
    <w:r>
      <w:rPr>
        <w:rFonts w:ascii="Calibri" w:hAnsi="Calibri" w:eastAsia="Calibri"/>
        <w:b w:val="0"/>
        <w:i w:val="0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B6573"/>
        <w:sz w:val="17"/>
      </w:rPr>
      <w:t>BIDDINGFLOW  /  WORD EXPORT TEST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before="0" w:after="0" w:line="259" w:lineRule="auto"/>
    </w:pPr>
    <w:rPr>
      <w:rFonts w:ascii="Calibri" w:hAnsi="Calibri"/>
      <w:color w:val="000000"/>
      <w:sz w:val="19"/>
    </w:rPr>
  </w:style>
  <w:style w:type="paragraph" w:customStyle="1" w:styleId="Note">
    <w:name w:val="Note"/>
    <w:pPr>
      <w:spacing w:before="0" w:after="0" w:line="259" w:lineRule="auto"/>
    </w:pPr>
    <w:rPr>
      <w:rFonts w:ascii="Calibri" w:hAnsi="Calibri"/>
      <w:color w:val="5B657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BiddingFlow - Mẫu kiểm thử xuất Word hồ sơ gói thầu</dc:title>
  <dc:subject>Kiểm thử thay biến dữ liệu BiddingFlow</dc:subject>
  <dc:creator>BiddingFlow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