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técnico para integração</w:t>
      </w:r>
    </w:p>
    <w:p>
      <w:pPr>
        <w:pStyle w:val="BriefBody"/>
      </w:pPr>
      <w:r>
        <w:t>Preparado para repasse ao técnico responsável pelo sistema existente.</w:t>
      </w:r>
    </w:p>
    <w:p>
      <w:pPr>
        <w:pStyle w:val="Heading2"/>
      </w:pPr>
      <w:r>
        <w:t>1. Objetivo e status</w:t>
      </w:r>
    </w:p>
    <w:p>
      <w:pPr>
        <w:pStyle w:val="BriefBody"/>
      </w:pPr>
      <w:r>
        <w:t>Este brief descreve o Reis Cell Cash, suas regras de negócio e os pontos que precisam ser definidos para integrar com outro sistema.</w:t>
      </w:r>
    </w:p>
    <w:p>
      <w:pPr>
        <w:pStyle w:val="BriefBody"/>
      </w:pPr>
      <w:r>
        <w:rPr>
          <w:b/>
        </w:rPr>
        <w:t xml:space="preserve">Status: </w:t>
      </w:r>
      <w:r>
        <w:t>a integração ainda não está implementada. O sistema de destino, sua documentação/API, ambiente de teste e responsável técnico não foram informados. Endpoints e payloads deste documento são propostas para alinhamento, não serviços existentes.</w:t>
      </w:r>
    </w:p>
    <w:p>
      <w:pPr>
        <w:pStyle w:val="Heading2"/>
      </w:pPr>
      <w:r>
        <w:t>2. Arquitetura atual</w:t>
      </w:r>
    </w:p>
    <w:p>
      <w:pPr>
        <w:pStyle w:val="ListBullet"/>
      </w:pPr>
      <w:r>
        <w:t>Aplicação local de navegador, em index.html (HTML/CSS/JavaScript no mesmo arquivo).</w:t>
      </w:r>
    </w:p>
    <w:p>
      <w:pPr>
        <w:pStyle w:val="ListBullet"/>
      </w:pPr>
      <w:r>
        <w:t>Persistência no localStorage do navegador/perfil, com prefixo vertice_. Não há servidor, banco remoto, API, sincronização entre computadores nem fila de sincronização offline.</w:t>
      </w:r>
    </w:p>
    <w:p>
      <w:pPr>
        <w:pStyle w:val="ListBullet"/>
      </w:pPr>
      <w:r>
        <w:t>Chaves identificadas no código: vertice_products, vertice_sales, vertice_sellers, vertice_cashOpen, vertice_cashShift, vertice_cashShifts, vertice_saleNo e vertice_managerUsers.</w:t>
      </w:r>
    </w:p>
    <w:p>
      <w:pPr>
        <w:pStyle w:val="ListBullet"/>
      </w:pPr>
      <w:r>
        <w:t>A cópia do arquivo para outro computador não compartilha os dados. O CSV atual é relatório, não backup/migração completa.</w:t>
      </w:r>
    </w:p>
    <w:p>
      <w:pPr>
        <w:pStyle w:val="ListBullet"/>
      </w:pPr>
      <w:r>
        <w:t>O catálogo inicial pode conter produto e vendedor demonstrativos; revisar antes do corte de produção.</w:t>
      </w:r>
    </w:p>
    <w:p>
      <w:pPr>
        <w:pStyle w:val="Heading2"/>
      </w:pPr>
      <w:r>
        <w:t>3. Funcionalidades e regras a preservar</w:t>
      </w:r>
    </w:p>
    <w:p>
      <w:pPr>
        <w:pStyle w:val="ListNumber"/>
      </w:pPr>
      <w:r>
        <w:t>Produtos: código/SKU, marca, nome, modelo/cor, custo, preço, estoque, mínimo e IMEI opcional.</w:t>
      </w:r>
    </w:p>
    <w:p>
      <w:pPr>
        <w:pStyle w:val="ListNumber"/>
      </w:pPr>
      <w:r>
        <w:t>Vendas: vendedor obrigatório, itens, valores, observação, data/hora e garantia em dias ou meses. Comprovante não fiscal.</w:t>
      </w:r>
    </w:p>
    <w:p>
      <w:pPr>
        <w:pStyle w:val="ListNumber"/>
      </w:pPr>
      <w:r>
        <w:t>Pagamentos divididos: PIX, Dinheiro, Cartão de débito, Cartão de crédito, Ilug cell e Aparelho. A soma deve ser exatamente igual ao total.</w:t>
      </w:r>
    </w:p>
    <w:p>
      <w:pPr>
        <w:pStyle w:val="ListNumber"/>
      </w:pPr>
      <w:r>
        <w:t>Ilug cell: somente a parcela do pagamento alocada a Ilug participa da previsão; dobrar esse valor, dividir em 12 parcelas mensais e iniciar no mês seguinte à venda. Ajustar centavos para fechar o total; vendas canceladas ficam fora.</w:t>
      </w:r>
    </w:p>
    <w:p>
      <w:pPr>
        <w:pStyle w:val="ListNumber"/>
      </w:pPr>
      <w:r>
        <w:t>Cancelamento: motivo obrigatório, mantém histórico e devolve estoque. No destino, registrar como transição auditável e impedir reposição duplicada.</w:t>
      </w:r>
    </w:p>
    <w:p>
      <w:pPr>
        <w:pStyle w:val="ListNumber"/>
      </w:pPr>
      <w:r>
        <w:t>Venda retroativa: aceita data anterior e não deve entrar indevidamente na conferência do turno atual.</w:t>
      </w:r>
    </w:p>
    <w:p>
      <w:pPr>
        <w:pStyle w:val="ListNumber"/>
      </w:pPr>
      <w:r>
        <w:t>Caixa: fundo inicial, turno, contagem por método de pagamento, diferenças e observações.</w:t>
      </w:r>
    </w:p>
    <w:p>
      <w:pPr>
        <w:pStyle w:val="ListNumber"/>
      </w:pPr>
      <w:r>
        <w:t>Relatórios filtráveis e CSV são operacionais; não substituem registros transacionais do sistema destino.</w:t>
      </w:r>
    </w:p>
    <w:p>
      <w:pPr>
        <w:pStyle w:val="Heading2"/>
      </w:pPr>
      <w:r>
        <w:t>4. Modelo de dados atual observado</w:t>
      </w:r>
    </w:p>
    <w:p>
      <w:pPr>
        <w:pStyle w:val="BriefBody"/>
      </w:pPr>
      <w:r>
        <w:t>O armazenamento atual usa objetos JavaScript e valores monetários em reais. Esta lista não é um contrato de API; validar no código antes de importar.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4876"/>
          </w:tcPr>
          <w:p>
            <w:r>
              <w:rPr>
                <w:b/>
              </w:rPr>
              <w:t>Campos conhecidos</w:t>
            </w:r>
          </w:p>
        </w:tc>
      </w:tr>
      <w:tr>
        <w:tc>
          <w:tcPr>
            <w:tcW w:type="dxa" w:w="4876"/>
          </w:tcPr>
          <w:p>
            <w:r>
              <w:t>Produto</w:t>
            </w:r>
          </w:p>
        </w:tc>
        <w:tc>
          <w:tcPr>
            <w:tcW w:type="dxa" w:w="4876"/>
          </w:tcPr>
          <w:p>
            <w:r>
              <w:t>id, code, brand, name, model, price, cost, stock, min, imei</w:t>
            </w:r>
          </w:p>
        </w:tc>
      </w:tr>
      <w:tr>
        <w:tc>
          <w:tcPr>
            <w:tcW w:type="dxa" w:w="4876"/>
          </w:tcPr>
          <w:p>
            <w:r>
              <w:t>Item de venda</w:t>
            </w:r>
          </w:p>
        </w:tc>
        <w:tc>
          <w:tcPr>
            <w:tcW w:type="dxa" w:w="4876"/>
          </w:tcPr>
          <w:p>
            <w:r>
              <w:t>code, name, brand, price, qty (snapshot do item na venda)</w:t>
            </w:r>
          </w:p>
        </w:tc>
      </w:tr>
      <w:tr>
        <w:tc>
          <w:tcPr>
            <w:tcW w:type="dxa" w:w="4876"/>
          </w:tcPr>
          <w:p>
            <w:r>
              <w:t>Venda</w:t>
            </w:r>
          </w:p>
        </w:tc>
        <w:tc>
          <w:tcPr>
            <w:tcW w:type="dxa" w:w="4876"/>
          </w:tcPr>
          <w:p>
            <w:r>
              <w:t>id local V..., date, items, total, payment (rótulo), payments, note, seller, sellerId, shiftId, historical, garantia, situação e campos Ilug</w:t>
            </w:r>
          </w:p>
        </w:tc>
      </w:tr>
      <w:tr>
        <w:tc>
          <w:tcPr>
            <w:tcW w:type="dxa" w:w="4876"/>
          </w:tcPr>
          <w:p>
            <w:r>
              <w:t>Vendedor</w:t>
            </w:r>
          </w:p>
        </w:tc>
        <w:tc>
          <w:tcPr>
            <w:tcW w:type="dxa" w:w="4876"/>
          </w:tcPr>
          <w:p>
            <w:r>
              <w:t>id, name e estado ativo/inativo</w:t>
            </w:r>
          </w:p>
        </w:tc>
      </w:tr>
      <w:tr>
        <w:tc>
          <w:tcPr>
            <w:tcW w:type="dxa" w:w="4876"/>
          </w:tcPr>
          <w:p>
            <w:r>
              <w:t>Caixa</w:t>
            </w:r>
          </w:p>
        </w:tc>
        <w:tc>
          <w:tcPr>
            <w:tcW w:type="dxa" w:w="4876"/>
          </w:tcPr>
          <w:p>
            <w:r>
              <w:t>estado de abertura, turno atual e histórico de turnos/fechamentos</w:t>
            </w:r>
          </w:p>
        </w:tc>
      </w:tr>
    </w:tbl>
    <w:p>
      <w:pPr>
        <w:pStyle w:val="Heading2"/>
      </w:pPr>
      <w:r>
        <w:t>5. Diretriz recomendada</w:t>
      </w:r>
    </w:p>
    <w:p>
      <w:pPr>
        <w:pStyle w:val="ListBullet"/>
      </w:pPr>
      <w:r>
        <w:t>Integrar por API autenticada/documentada; não acessar diretamente o banco do outro sistema nem colocar segredo de API no HTML.</w:t>
      </w:r>
    </w:p>
    <w:p>
      <w:pPr>
        <w:pStyle w:val="ListBullet"/>
      </w:pPr>
      <w:r>
        <w:t>Definir uma fonte oficial para catálogo, preço, estoque, vendedores, vendas, caixa e recebíveis. Evitar fontes concorrentes e baixas duplicadas.</w:t>
      </w:r>
    </w:p>
    <w:p>
      <w:pPr>
        <w:pStyle w:val="ListBullet"/>
      </w:pPr>
      <w:r>
        <w:t>Na API, preferir valores em centavos inteiros e quantidades inteiras; converter explicitamente os valores atuais em reais.</w:t>
      </w:r>
    </w:p>
    <w:p>
      <w:pPr>
        <w:pStyle w:val="ListBullet"/>
      </w:pPr>
      <w:r>
        <w:t>Criar venda, itens, pagamentos e baixa de estoque atomicamente no servidor; usar chave de idempotência para retries/reenvios.</w:t>
      </w:r>
    </w:p>
    <w:p>
      <w:pPr>
        <w:pStyle w:val="ListBullet"/>
      </w:pPr>
      <w:r>
        <w:t>Usar ID canônico do servidor e guardar vínculo com referência local V...; contadores locais podem colidir entre navegadores.</w:t>
      </w:r>
    </w:p>
    <w:p>
      <w:pPr>
        <w:pStyle w:val="ListBullet"/>
      </w:pPr>
      <w:r>
        <w:t>Cancelar como transição auditável com motivo, ator e data/hora; repor estoque exatamente uma vez.</w:t>
      </w:r>
    </w:p>
    <w:p>
      <w:pPr>
        <w:pStyle w:val="ListBullet"/>
      </w:pPr>
      <w:r>
        <w:t>Definir timezone (recomendação: ISO 8601 com offset explícito) e tratamento de venda retroativa.</w:t>
      </w:r>
    </w:p>
    <w:p>
      <w:pPr>
        <w:pStyle w:val="ListBullet"/>
      </w:pPr>
      <w:r>
        <w:t>Se for necessário operar offline, projetar fila, retries, idempotência, conflitos de estoque e reconciliação: o protótipo atual não possui esses recursos.</w:t>
      </w:r>
    </w:p>
    <w:p>
      <w:pPr>
        <w:pStyle w:val="ListBullet"/>
      </w:pPr>
      <w:r>
        <w:t>Não migrar managerUsers, hashes ou salts para autenticação do destino. O login atual é local e provisório; usar identidade central do sistema existente.</w:t>
      </w:r>
    </w:p>
    <w:p>
      <w:pPr>
        <w:pStyle w:val="Heading2"/>
      </w:pPr>
      <w:r>
        <w:t>6. Exemplo de payload conceitual</w:t>
      </w:r>
    </w:p>
    <w:p>
      <w:pPr>
        <w:pStyle w:val="BriefSmall"/>
      </w:pPr>
      <w:r>
        <w:t>Exemplo somente para discutir o contrato; não é payload implementado. Adaptar IDs e campos à documentação do sistema de destino.</w:t>
      </w:r>
    </w:p>
    <w:p>
      <w:pPr>
        <w:pStyle w:val="BriefBody"/>
      </w:pPr>
      <w:r>
        <w:t>{ client_reference: "V0001", occurred_at: "2026-10-24T14:30:00-03:00", seller_reference: "ID_DO_VENDEDOR", historical: false, items: [{ sku: "APL-IP15-128", quantity: 1, unit_price_cents: 479990 }], payments: [{ method: "PIX", amount_cents: 10000 }, { method: "Ilug cell", amount_cents: 469990 }], warranty: { amount: 90, unit: "days" }, note: "" }</w:t>
      </w:r>
    </w:p>
    <w:p>
      <w:pPr>
        <w:pStyle w:val="BriefBody"/>
      </w:pPr>
      <w:r>
        <w:t>O servidor deve validar totais, IDs e estoque, e retornar o ID definitivo/estado da venda. A estrutura oficial do destino prevalece após validação conjunta.</w:t>
      </w:r>
    </w:p>
    <w:p>
      <w:pPr>
        <w:pStyle w:val="Heading2"/>
      </w:pPr>
      <w:r>
        <w:t>7. Perguntas para o técnico do sistema de destino</w:t>
      </w:r>
    </w:p>
    <w:p>
      <w:pPr>
        <w:pStyle w:val="ListNumber"/>
      </w:pPr>
      <w:r>
        <w:t>Qual é o nome/versão do sistema e onde estão a documentação oficial da API e o ambiente de homologação?</w:t>
      </w:r>
    </w:p>
    <w:p>
      <w:pPr>
        <w:pStyle w:val="ListNumber"/>
      </w:pPr>
      <w:r>
        <w:t>Quais autenticação, permissões, rede/CORS, limites e requisitos de segurança são exigidos?</w:t>
      </w:r>
    </w:p>
    <w:p>
      <w:pPr>
        <w:pStyle w:val="ListNumber"/>
      </w:pPr>
      <w:r>
        <w:t>O fluxo será envio do PDV, recebimento do destino ou sincronização bidirecional?</w:t>
      </w:r>
    </w:p>
    <w:p>
      <w:pPr>
        <w:pStyle w:val="ListNumber"/>
      </w:pPr>
      <w:r>
        <w:t>Qual sistema será fonte oficial de produtos, estoque, preços, vendedores, vendas, cancelamentos, caixa e recebíveis Ilug?</w:t>
      </w:r>
    </w:p>
    <w:p>
      <w:pPr>
        <w:pStyle w:val="ListNumber"/>
      </w:pPr>
      <w:r>
        <w:t>Quais IDs/códigos fazem a correspondência entre produto, SKU, IMEI, vendedor, loja/filial e terminal?</w:t>
      </w:r>
    </w:p>
    <w:p>
      <w:pPr>
        <w:pStyle w:val="ListNumber"/>
      </w:pPr>
      <w:r>
        <w:t>Como o destino trata pagamento dividido, estorno, arredondamento, data retroativa e fechamento por forma de pagamento?</w:t>
      </w:r>
    </w:p>
    <w:p>
      <w:pPr>
        <w:pStyle w:val="ListNumber"/>
      </w:pPr>
      <w:r>
        <w:t>É necessário migrar vendas antigas? Desde quando, em qual formato e com qual procedimento de conferência?</w:t>
      </w:r>
    </w:p>
    <w:p>
      <w:pPr>
        <w:pStyle w:val="ListNumber"/>
      </w:pPr>
      <w:r>
        <w:t>Quem homologa e aprova o corte, o backup e o plano de rollback?</w:t>
      </w:r>
    </w:p>
    <w:p>
      <w:pPr>
        <w:pStyle w:val="Heading2"/>
      </w:pPr>
      <w:r>
        <w:t>8. Critérios mínimos de aceite</w:t>
      </w:r>
    </w:p>
    <w:p>
      <w:pPr>
        <w:pStyle w:val="ListBullet"/>
      </w:pPr>
      <w:r>
        <w:t>Pagamento validado em centavos; produto/vendedor inválido não cria venda parcialmente válida.</w:t>
      </w:r>
    </w:p>
    <w:p>
      <w:pPr>
        <w:pStyle w:val="ListBullet"/>
      </w:pPr>
      <w:r>
        <w:t>Reenvio da mesma operação não duplica venda, baixa de estoque ou recebíveis.</w:t>
      </w:r>
    </w:p>
    <w:p>
      <w:pPr>
        <w:pStyle w:val="ListBullet"/>
      </w:pPr>
      <w:r>
        <w:t>Cancelamento exige motivo/autorização, mantém auditoria e restitui estoque uma vez.</w:t>
      </w:r>
    </w:p>
    <w:p>
      <w:pPr>
        <w:pStyle w:val="ListBullet"/>
      </w:pPr>
      <w:r>
        <w:t>Previsão Ilug mantém 12 parcelas, apenas sobre o valor Ilug dobrado, iniciando no mês seguinte; canceladas são excluídas.</w:t>
      </w:r>
    </w:p>
    <w:p>
      <w:pPr>
        <w:pStyle w:val="ListBullet"/>
      </w:pPr>
      <w:r>
        <w:t>Venda retroativa não altera indevidamente a conferência do turno atual.</w:t>
      </w:r>
    </w:p>
    <w:p>
      <w:pPr>
        <w:pStyle w:val="ListBullet"/>
      </w:pPr>
      <w:r>
        <w:t>Venda simples, dividida, Ilug, falta de estoque, retry/erro de rede, cancelamento repetido e reconciliação de caixa cobertos em homologação.</w:t>
      </w:r>
    </w:p>
    <w:p>
      <w:pPr>
        <w:pStyle w:val="ListBullet"/>
      </w:pPr>
      <w:r>
        <w:t>Nenhuma senha, hash, salt ou segredo de API exposto no navegador, logs ou pacote de integração.</w:t>
      </w:r>
    </w:p>
    <w:p>
      <w:pPr>
        <w:pStyle w:val="Heading2"/>
      </w:pPr>
      <w:r>
        <w:t>9. Próximo passo e limites</w:t>
      </w:r>
    </w:p>
    <w:p>
      <w:pPr>
        <w:pStyle w:val="BriefBody"/>
      </w:pPr>
      <w:r>
        <w:t>Enviar este brief ao técnico e solicitar o nome do sistema, documentação oficial da API, ambiente de teste e respostas da seção 7. Este pacote não cria conexão, endpoint, credencial nem sincronização. O projeto permanece local até a implementação e homologação da integração.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Material de alinhamento — integração ainda não implementada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REIS CELL CASH  |  BRIEF TÉCNICO DE INTEGRAÇÃO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rPr>
      <w:rFonts w:ascii="Arial" w:hAnsi="Arial"/>
      <w:color w:val="26352D"/>
      <w:sz w:val="20"/>
    </w:rPr>
  </w:style>
  <w:style w:type="paragraph" w:customStyle="1" w:styleId="BriefSmall">
    <w:name w:val="Brief Small"/>
    <w:basedOn w:val="Normal"/>
    <w:rPr>
      <w:rFonts w:ascii="Arial" w:hAnsi="Arial"/>
      <w:color w:val="6071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