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 Computers Enterprise Application Design</w:t>
      </w:r>
    </w:p>
    <w:p>
      <w:pPr>
        <w:pStyle w:val="Subtitle"/>
      </w:pPr>
      <w:r>
        <w:t>NP Computers Inc   |   Version 1.0   |   October 6 2026</w:t>
      </w:r>
    </w:p>
    <w:p>
      <w:r>
        <w:t>This design proposes a modular Spring Boot application with a React storefront and PostgreSQL persistence for the v1 requirements. It prioritizes explicit authorization, transactional order integrity and reproducible local delivery. Architect review should approve module boundaries, token revocation semantics and the deliberately local simulated payment transaction before implementation.</w:t>
      </w:r>
    </w:p>
    <w:p>
      <w:pPr>
        <w:pStyle w:val="Heading1"/>
      </w:pPr>
      <w:r>
        <w:t>D1 Architecture overview</w:t>
      </w:r>
    </w:p>
    <w:p>
      <w:r>
        <w:t>Use a modular monolith, one backend deployable and one PostgreSQL database. The browser loads the React SPA from a reverse proxy and calls same origin /api/v1 routes. The proxy forwards API calls to Spring Boot. Backend controllers map DTOs into application services; domain policies express invariants; repositories use Spring Data JPA. Modules own their tables and expose application interfaces instead of letting other modules mutate repositories directly. This keeps checkout atomic without distributed transactions while preserving later extraction points. Trace: BUS01, TECH01, TECH03.</w:t>
      </w:r>
    </w:p>
    <w:tbl>
      <w:tblPr>
        <w:tblW w:type="auto" w:w="0"/>
        <w:tblLayout w:type="fixed"/>
        <w:tblLook w:firstColumn="1" w:firstRow="1" w:lastColumn="0" w:lastRow="0" w:noHBand="0" w:noVBand="1" w:val="04A0"/>
      </w:tblPr>
      <w:tblGrid>
        <w:gridCol w:w="3312"/>
        <w:gridCol w:w="3312"/>
        <w:gridCol w:w="3312"/>
      </w:tblGrid>
      <w:tr>
        <w:trPr>
          <w:tblHeader/>
        </w:trPr>
        <w:tc>
          <w:tcPr>
            <w:tcW w:type="dxa" w:w="2016"/>
            <w:tcBorders>
              <w:top w:val="single" w:sz="4" w:color="D9D9D9"/>
              <w:left w:val="single" w:sz="4" w:color="D9D9D9"/>
              <w:bottom w:val="single" w:sz="4" w:color="D9D9D9"/>
              <w:right w:val="single" w:sz="4" w:color="D9D9D9"/>
            </w:tcBorders>
            <w:shd w:fill="E7EDF2"/>
          </w:tcPr>
          <w:p>
            <w:pPr>
              <w:spacing w:after="100" w:before="100"/>
            </w:pPr>
            <w:r>
              <w:rPr>
                <w:b/>
                <w:sz w:val="20"/>
              </w:rPr>
              <w:t>Layer</w:t>
            </w:r>
          </w:p>
        </w:tc>
        <w:tc>
          <w:tcPr>
            <w:tcW w:type="dxa" w:w="4464"/>
            <w:tcBorders>
              <w:top w:val="single" w:sz="4" w:color="D9D9D9"/>
              <w:left w:val="single" w:sz="4" w:color="D9D9D9"/>
              <w:bottom w:val="single" w:sz="4" w:color="D9D9D9"/>
              <w:right w:val="single" w:sz="4" w:color="D9D9D9"/>
            </w:tcBorders>
            <w:shd w:fill="E7EDF2"/>
          </w:tcPr>
          <w:p>
            <w:pPr>
              <w:spacing w:after="100" w:before="100"/>
            </w:pPr>
            <w:r>
              <w:rPr>
                <w:b/>
                <w:sz w:val="20"/>
              </w:rPr>
              <w:t>Responsibility</w:t>
            </w:r>
          </w:p>
        </w:tc>
        <w:tc>
          <w:tcPr>
            <w:tcW w:type="dxa" w:w="3312"/>
            <w:tcBorders>
              <w:top w:val="single" w:sz="4" w:color="D9D9D9"/>
              <w:left w:val="single" w:sz="4" w:color="D9D9D9"/>
              <w:bottom w:val="single" w:sz="4" w:color="D9D9D9"/>
              <w:right w:val="single" w:sz="4" w:color="D9D9D9"/>
            </w:tcBorders>
            <w:shd w:fill="E7EDF2"/>
          </w:tcPr>
          <w:p>
            <w:pPr>
              <w:spacing w:after="100" w:before="100"/>
            </w:pPr>
            <w:r>
              <w:rPr>
                <w:b/>
                <w:sz w:val="20"/>
              </w:rPr>
              <w:t>Allowed dependency</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React SPA</w:t>
            </w:r>
          </w:p>
        </w:tc>
        <w:tc>
          <w:tcPr>
            <w:tcW w:type="dxa" w:w="4464"/>
            <w:tcBorders>
              <w:top w:val="single" w:sz="4" w:color="D9D9D9"/>
              <w:left w:val="single" w:sz="4" w:color="D9D9D9"/>
              <w:bottom w:val="single" w:sz="4" w:color="D9D9D9"/>
              <w:right w:val="single" w:sz="4" w:color="D9D9D9"/>
            </w:tcBorders>
            <w:shd w:fill="FFFFFF"/>
          </w:tcPr>
          <w:p>
            <w:pPr>
              <w:spacing w:after="100" w:before="100"/>
            </w:pPr>
            <w:r>
              <w:rPr>
                <w:b w:val="0"/>
                <w:sz w:val="20"/>
              </w:rPr>
              <w:t>Routing, forms, cart views, quote review and auth coordination</w:t>
            </w:r>
          </w:p>
        </w:tc>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0"/>
              </w:rPr>
              <w:t>HTTP API DTOs only</w:t>
            </w:r>
          </w:p>
        </w:tc>
      </w:tr>
      <w:tr>
        <w:tc>
          <w:tcPr>
            <w:tcW w:type="dxa" w:w="2016"/>
            <w:tcBorders>
              <w:top w:val="single" w:sz="4" w:color="D9D9D9"/>
              <w:left w:val="single" w:sz="4" w:color="D9D9D9"/>
              <w:bottom w:val="single" w:sz="4" w:color="D9D9D9"/>
              <w:right w:val="single" w:sz="4" w:color="D9D9D9"/>
            </w:tcBorders>
            <w:shd w:fill="F6F7F8"/>
          </w:tcPr>
          <w:p>
            <w:pPr>
              <w:spacing w:after="100" w:before="100"/>
            </w:pPr>
            <w:r>
              <w:rPr>
                <w:b w:val="0"/>
                <w:sz w:val="20"/>
              </w:rPr>
              <w:t>Reverse proxy</w:t>
            </w:r>
          </w:p>
        </w:tc>
        <w:tc>
          <w:tcPr>
            <w:tcW w:type="dxa" w:w="4464"/>
            <w:tcBorders>
              <w:top w:val="single" w:sz="4" w:color="D9D9D9"/>
              <w:left w:val="single" w:sz="4" w:color="D9D9D9"/>
              <w:bottom w:val="single" w:sz="4" w:color="D9D9D9"/>
              <w:right w:val="single" w:sz="4" w:color="D9D9D9"/>
            </w:tcBorders>
            <w:shd w:fill="F6F7F8"/>
          </w:tcPr>
          <w:p>
            <w:pPr>
              <w:spacing w:after="100" w:before="100"/>
            </w:pPr>
            <w:r>
              <w:rPr>
                <w:b w:val="0"/>
                <w:sz w:val="20"/>
              </w:rPr>
              <w:t>SPA fallback, API routing, security headers and TLS termination</w:t>
            </w:r>
          </w:p>
        </w:tc>
        <w:tc>
          <w:tcPr>
            <w:tcW w:type="dxa" w:w="3312"/>
            <w:tcBorders>
              <w:top w:val="single" w:sz="4" w:color="D9D9D9"/>
              <w:left w:val="single" w:sz="4" w:color="D9D9D9"/>
              <w:bottom w:val="single" w:sz="4" w:color="D9D9D9"/>
              <w:right w:val="single" w:sz="4" w:color="D9D9D9"/>
            </w:tcBorders>
            <w:shd w:fill="F6F7F8"/>
          </w:tcPr>
          <w:p>
            <w:pPr>
              <w:spacing w:after="100" w:before="100"/>
            </w:pPr>
            <w:r>
              <w:rPr>
                <w:b w:val="0"/>
                <w:sz w:val="20"/>
              </w:rPr>
              <w:t>Backend HTTP</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Spring controllers</w:t>
            </w:r>
          </w:p>
        </w:tc>
        <w:tc>
          <w:tcPr>
            <w:tcW w:type="dxa" w:w="4464"/>
            <w:tcBorders>
              <w:top w:val="single" w:sz="4" w:color="D9D9D9"/>
              <w:left w:val="single" w:sz="4" w:color="D9D9D9"/>
              <w:bottom w:val="single" w:sz="4" w:color="D9D9D9"/>
              <w:right w:val="single" w:sz="4" w:color="D9D9D9"/>
            </w:tcBorders>
            <w:shd w:fill="FFFFFF"/>
          </w:tcPr>
          <w:p>
            <w:pPr>
              <w:spacing w:after="100" w:before="100"/>
            </w:pPr>
            <w:r>
              <w:rPr>
                <w:b w:val="0"/>
                <w:sz w:val="20"/>
              </w:rPr>
              <w:t>Validation, principal context, status and response mapping</w:t>
            </w:r>
          </w:p>
        </w:tc>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0"/>
              </w:rPr>
              <w:t>Application services</w:t>
            </w:r>
          </w:p>
        </w:tc>
      </w:tr>
      <w:tr>
        <w:tc>
          <w:tcPr>
            <w:tcW w:type="dxa" w:w="2016"/>
            <w:tcBorders>
              <w:top w:val="single" w:sz="4" w:color="D9D9D9"/>
              <w:left w:val="single" w:sz="4" w:color="D9D9D9"/>
              <w:bottom w:val="single" w:sz="4" w:color="D9D9D9"/>
              <w:right w:val="single" w:sz="4" w:color="D9D9D9"/>
            </w:tcBorders>
            <w:shd w:fill="F6F7F8"/>
          </w:tcPr>
          <w:p>
            <w:pPr>
              <w:spacing w:after="100" w:before="100"/>
            </w:pPr>
            <w:r>
              <w:rPr>
                <w:b w:val="0"/>
                <w:sz w:val="20"/>
              </w:rPr>
              <w:t>Application and domain</w:t>
            </w:r>
          </w:p>
        </w:tc>
        <w:tc>
          <w:tcPr>
            <w:tcW w:type="dxa" w:w="4464"/>
            <w:tcBorders>
              <w:top w:val="single" w:sz="4" w:color="D9D9D9"/>
              <w:left w:val="single" w:sz="4" w:color="D9D9D9"/>
              <w:bottom w:val="single" w:sz="4" w:color="D9D9D9"/>
              <w:right w:val="single" w:sz="4" w:color="D9D9D9"/>
            </w:tcBorders>
            <w:shd w:fill="F6F7F8"/>
          </w:tcPr>
          <w:p>
            <w:pPr>
              <w:spacing w:after="100" w:before="100"/>
            </w:pPr>
            <w:r>
              <w:rPr>
                <w:b w:val="0"/>
                <w:sz w:val="20"/>
              </w:rPr>
              <w:t>Authorization, workflow, transaction boundaries and invariants</w:t>
            </w:r>
          </w:p>
        </w:tc>
        <w:tc>
          <w:tcPr>
            <w:tcW w:type="dxa" w:w="3312"/>
            <w:tcBorders>
              <w:top w:val="single" w:sz="4" w:color="D9D9D9"/>
              <w:left w:val="single" w:sz="4" w:color="D9D9D9"/>
              <w:bottom w:val="single" w:sz="4" w:color="D9D9D9"/>
              <w:right w:val="single" w:sz="4" w:color="D9D9D9"/>
            </w:tcBorders>
            <w:shd w:fill="F6F7F8"/>
          </w:tcPr>
          <w:p>
            <w:pPr>
              <w:spacing w:after="100" w:before="100"/>
            </w:pPr>
            <w:r>
              <w:rPr>
                <w:b w:val="0"/>
                <w:sz w:val="20"/>
              </w:rPr>
              <w:t>Ports and owned repositories</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Adapters</w:t>
            </w:r>
          </w:p>
        </w:tc>
        <w:tc>
          <w:tcPr>
            <w:tcW w:type="dxa" w:w="4464"/>
            <w:tcBorders>
              <w:top w:val="single" w:sz="4" w:color="D9D9D9"/>
              <w:left w:val="single" w:sz="4" w:color="D9D9D9"/>
              <w:bottom w:val="single" w:sz="4" w:color="D9D9D9"/>
              <w:right w:val="single" w:sz="4" w:color="D9D9D9"/>
            </w:tcBorders>
            <w:shd w:fill="FFFFFF"/>
          </w:tcPr>
          <w:p>
            <w:pPr>
              <w:spacing w:after="100" w:before="100"/>
            </w:pPr>
            <w:r>
              <w:rPr>
                <w:b w:val="0"/>
                <w:sz w:val="20"/>
              </w:rPr>
              <w:t>JPA, payment simulator, notification and replenishment stubs</w:t>
            </w:r>
          </w:p>
        </w:tc>
        <w:tc>
          <w:tcPr>
            <w:tcW w:type="dxa" w:w="3312"/>
            <w:tcBorders>
              <w:top w:val="single" w:sz="4" w:color="D9D9D9"/>
              <w:left w:val="single" w:sz="4" w:color="D9D9D9"/>
              <w:bottom w:val="single" w:sz="4" w:color="D9D9D9"/>
              <w:right w:val="single" w:sz="4" w:color="D9D9D9"/>
            </w:tcBorders>
            <w:shd w:fill="FFFFFF"/>
          </w:tcPr>
          <w:p>
            <w:pPr>
              <w:spacing w:after="100" w:before="100"/>
            </w:pPr>
            <w:r>
              <w:rPr>
                <w:b w:val="0"/>
                <w:sz w:val="20"/>
              </w:rPr>
              <w:t>PostgreSQL and controlled external interfaces</w:t>
            </w:r>
          </w:p>
        </w:tc>
      </w:tr>
    </w:tbl>
    <w:p/>
    <w:p>
      <w:r>
        <w:t>Request path: Browser → SPA proxy → API security chain → controller → application service → domain policy → repository → PostgreSQL. Checkout executes entirely within the backend; browser state never establishes inventory, price or role authority.</w:t>
      </w:r>
    </w:p>
    <w:p>
      <w:pPr>
        <w:pStyle w:val="Heading1"/>
      </w:pPr>
      <w:r>
        <w:t>D2 User journeys and component boundaries</w:t>
      </w:r>
    </w:p>
    <w:tbl>
      <w:tblPr>
        <w:tblW w:type="auto" w:w="0"/>
        <w:tblLayout w:type="fixed"/>
        <w:tblLook w:firstColumn="1" w:firstRow="1" w:lastColumn="0" w:lastRow="0" w:noHBand="0" w:noVBand="1" w:val="04A0"/>
      </w:tblPr>
      <w:tblGrid>
        <w:gridCol w:w="4968"/>
        <w:gridCol w:w="4968"/>
      </w:tblGrid>
      <w:tr>
        <w:trPr>
          <w:tblHeader/>
        </w:trPr>
        <w:tc>
          <w:tcPr>
            <w:tcW w:type="dxa" w:w="2160"/>
            <w:tcBorders>
              <w:top w:val="single" w:sz="4" w:color="D9D9D9"/>
              <w:left w:val="single" w:sz="4" w:color="D9D9D9"/>
              <w:bottom w:val="single" w:sz="4" w:color="D9D9D9"/>
              <w:right w:val="single" w:sz="4" w:color="D9D9D9"/>
            </w:tcBorders>
            <w:shd w:fill="E7EDF2"/>
          </w:tcPr>
          <w:p>
            <w:pPr>
              <w:spacing w:after="100" w:before="100"/>
            </w:pPr>
            <w:r>
              <w:rPr>
                <w:b/>
                <w:sz w:val="20"/>
              </w:rPr>
              <w:t>Module</w:t>
            </w:r>
          </w:p>
        </w:tc>
        <w:tc>
          <w:tcPr>
            <w:tcW w:type="dxa" w:w="7632"/>
            <w:tcBorders>
              <w:top w:val="single" w:sz="4" w:color="D9D9D9"/>
              <w:left w:val="single" w:sz="4" w:color="D9D9D9"/>
              <w:bottom w:val="single" w:sz="4" w:color="D9D9D9"/>
              <w:right w:val="single" w:sz="4" w:color="D9D9D9"/>
            </w:tcBorders>
            <w:shd w:fill="E7EDF2"/>
          </w:tcPr>
          <w:p>
            <w:pPr>
              <w:spacing w:after="100" w:before="100"/>
            </w:pPr>
            <w:r>
              <w:rPr>
                <w:b/>
                <w:sz w:val="20"/>
              </w:rPr>
              <w:t>Ownership and interfaces</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identity</w:t>
            </w:r>
          </w:p>
        </w:tc>
        <w:tc>
          <w:tcPr>
            <w:tcW w:type="dxa" w:w="7632"/>
            <w:tcBorders>
              <w:top w:val="single" w:sz="4" w:color="D9D9D9"/>
              <w:left w:val="single" w:sz="4" w:color="D9D9D9"/>
              <w:bottom w:val="single" w:sz="4" w:color="D9D9D9"/>
              <w:right w:val="single" w:sz="4" w:color="D9D9D9"/>
            </w:tcBorders>
            <w:shd w:fill="FFFFFF"/>
          </w:tcPr>
          <w:p>
            <w:pPr>
              <w:spacing w:after="100" w:before="100"/>
            </w:pPr>
            <w:r>
              <w:rPr>
                <w:b w:val="0"/>
                <w:sz w:val="20"/>
              </w:rPr>
              <w:t>Users, credentials, roles, sessions, refresh tokens and resets; authenticate and authorize.</w:t>
            </w:r>
          </w:p>
        </w:tc>
      </w:tr>
      <w:tr>
        <w:tc>
          <w:tcPr>
            <w:tcW w:type="dxa" w:w="2160"/>
            <w:tcBorders>
              <w:top w:val="single" w:sz="4" w:color="D9D9D9"/>
              <w:left w:val="single" w:sz="4" w:color="D9D9D9"/>
              <w:bottom w:val="single" w:sz="4" w:color="D9D9D9"/>
              <w:right w:val="single" w:sz="4" w:color="D9D9D9"/>
            </w:tcBorders>
            <w:shd w:fill="F6F7F8"/>
          </w:tcPr>
          <w:p>
            <w:pPr>
              <w:spacing w:after="100" w:before="100"/>
            </w:pPr>
            <w:r>
              <w:rPr>
                <w:b w:val="0"/>
                <w:sz w:val="20"/>
              </w:rPr>
              <w:t>customer</w:t>
            </w:r>
          </w:p>
        </w:tc>
        <w:tc>
          <w:tcPr>
            <w:tcW w:type="dxa" w:w="7632"/>
            <w:tcBorders>
              <w:top w:val="single" w:sz="4" w:color="D9D9D9"/>
              <w:left w:val="single" w:sz="4" w:color="D9D9D9"/>
              <w:bottom w:val="single" w:sz="4" w:color="D9D9D9"/>
              <w:right w:val="single" w:sz="4" w:color="D9D9D9"/>
            </w:tcBorders>
            <w:shd w:fill="F6F7F8"/>
          </w:tcPr>
          <w:p>
            <w:pPr>
              <w:spacing w:after="100" w:before="100"/>
            </w:pPr>
            <w:r>
              <w:rPr>
                <w:b w:val="0"/>
                <w:sz w:val="20"/>
              </w:rPr>
              <w:t>Profile, contact and saved address lifecycle; scoped to principal user ID.</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catalog</w:t>
            </w:r>
          </w:p>
        </w:tc>
        <w:tc>
          <w:tcPr>
            <w:tcW w:type="dxa" w:w="7632"/>
            <w:tcBorders>
              <w:top w:val="single" w:sz="4" w:color="D9D9D9"/>
              <w:left w:val="single" w:sz="4" w:color="D9D9D9"/>
              <w:bottom w:val="single" w:sz="4" w:color="D9D9D9"/>
              <w:right w:val="single" w:sz="4" w:color="D9D9D9"/>
            </w:tcBorders>
            <w:shd w:fill="FFFFFF"/>
          </w:tcPr>
          <w:p>
            <w:pPr>
              <w:spacing w:after="100" w:before="100"/>
            </w:pPr>
            <w:r>
              <w:rPr>
                <w:b w:val="0"/>
                <w:sz w:val="20"/>
              </w:rPr>
              <w:t>Products and specification validation; customer reads exclude inactive products.</w:t>
            </w:r>
          </w:p>
        </w:tc>
      </w:tr>
      <w:tr>
        <w:tc>
          <w:tcPr>
            <w:tcW w:type="dxa" w:w="2160"/>
            <w:tcBorders>
              <w:top w:val="single" w:sz="4" w:color="D9D9D9"/>
              <w:left w:val="single" w:sz="4" w:color="D9D9D9"/>
              <w:bottom w:val="single" w:sz="4" w:color="D9D9D9"/>
              <w:right w:val="single" w:sz="4" w:color="D9D9D9"/>
            </w:tcBorders>
            <w:shd w:fill="F6F7F8"/>
          </w:tcPr>
          <w:p>
            <w:pPr>
              <w:spacing w:after="100" w:before="100"/>
            </w:pPr>
            <w:r>
              <w:rPr>
                <w:b w:val="0"/>
                <w:sz w:val="20"/>
              </w:rPr>
              <w:t>inventory</w:t>
            </w:r>
          </w:p>
        </w:tc>
        <w:tc>
          <w:tcPr>
            <w:tcW w:type="dxa" w:w="7632"/>
            <w:tcBorders>
              <w:top w:val="single" w:sz="4" w:color="D9D9D9"/>
              <w:left w:val="single" w:sz="4" w:color="D9D9D9"/>
              <w:bottom w:val="single" w:sz="4" w:color="D9D9D9"/>
              <w:right w:val="single" w:sz="4" w:color="D9D9D9"/>
            </w:tcBorders>
            <w:shd w:fill="F6F7F8"/>
          </w:tcPr>
          <w:p>
            <w:pPr>
              <w:spacing w:after="100" w:before="100"/>
            </w:pPr>
            <w:r>
              <w:rPr>
                <w:b w:val="0"/>
                <w:sz w:val="20"/>
              </w:rPr>
              <w:t>Stock balances, movements and replenishment requests; exposes locked stock operations.</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cart</w:t>
            </w:r>
          </w:p>
        </w:tc>
        <w:tc>
          <w:tcPr>
            <w:tcW w:type="dxa" w:w="7632"/>
            <w:tcBorders>
              <w:top w:val="single" w:sz="4" w:color="D9D9D9"/>
              <w:left w:val="single" w:sz="4" w:color="D9D9D9"/>
              <w:bottom w:val="single" w:sz="4" w:color="D9D9D9"/>
              <w:right w:val="single" w:sz="4" w:color="D9D9D9"/>
            </w:tcBorders>
            <w:shd w:fill="FFFFFF"/>
          </w:tcPr>
          <w:p>
            <w:pPr>
              <w:spacing w:after="100" w:before="100"/>
            </w:pPr>
            <w:r>
              <w:rPr>
                <w:b w:val="0"/>
                <w:sz w:val="20"/>
              </w:rPr>
              <w:t>One active cart per customer; advisory quantities and no reservation.</w:t>
            </w:r>
          </w:p>
        </w:tc>
      </w:tr>
      <w:tr>
        <w:tc>
          <w:tcPr>
            <w:tcW w:type="dxa" w:w="2160"/>
            <w:tcBorders>
              <w:top w:val="single" w:sz="4" w:color="D9D9D9"/>
              <w:left w:val="single" w:sz="4" w:color="D9D9D9"/>
              <w:bottom w:val="single" w:sz="4" w:color="D9D9D9"/>
              <w:right w:val="single" w:sz="4" w:color="D9D9D9"/>
            </w:tcBorders>
            <w:shd w:fill="F6F7F8"/>
          </w:tcPr>
          <w:p>
            <w:pPr>
              <w:spacing w:after="100" w:before="100"/>
            </w:pPr>
            <w:r>
              <w:rPr>
                <w:b w:val="0"/>
                <w:sz w:val="20"/>
              </w:rPr>
              <w:t>ordering</w:t>
            </w:r>
          </w:p>
        </w:tc>
        <w:tc>
          <w:tcPr>
            <w:tcW w:type="dxa" w:w="7632"/>
            <w:tcBorders>
              <w:top w:val="single" w:sz="4" w:color="D9D9D9"/>
              <w:left w:val="single" w:sz="4" w:color="D9D9D9"/>
              <w:bottom w:val="single" w:sz="4" w:color="D9D9D9"/>
              <w:right w:val="single" w:sz="4" w:color="D9D9D9"/>
            </w:tcBorders>
            <w:shd w:fill="F6F7F8"/>
          </w:tcPr>
          <w:p>
            <w:pPr>
              <w:spacing w:after="100" w:before="100"/>
            </w:pPr>
            <w:r>
              <w:rPr>
                <w:b w:val="0"/>
                <w:sz w:val="20"/>
              </w:rPr>
              <w:t>Quote, order snapshots, state transitions and idempotent submission; orchestrates checkout.</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payment</w:t>
            </w:r>
          </w:p>
        </w:tc>
        <w:tc>
          <w:tcPr>
            <w:tcW w:type="dxa" w:w="7632"/>
            <w:tcBorders>
              <w:top w:val="single" w:sz="4" w:color="D9D9D9"/>
              <w:left w:val="single" w:sz="4" w:color="D9D9D9"/>
              <w:bottom w:val="single" w:sz="4" w:color="D9D9D9"/>
              <w:right w:val="single" w:sz="4" w:color="D9D9D9"/>
            </w:tcBorders>
            <w:shd w:fill="FFFFFF"/>
          </w:tcPr>
          <w:p>
            <w:pPr>
              <w:spacing w:after="100" w:before="100"/>
            </w:pPr>
            <w:r>
              <w:rPr>
                <w:b w:val="0"/>
                <w:sz w:val="20"/>
              </w:rPr>
              <w:t>PaymentService and simulator; owns attempts and immutable result reference.</w:t>
            </w:r>
          </w:p>
        </w:tc>
      </w:tr>
      <w:tr>
        <w:tc>
          <w:tcPr>
            <w:tcW w:type="dxa" w:w="2160"/>
            <w:tcBorders>
              <w:top w:val="single" w:sz="4" w:color="D9D9D9"/>
              <w:left w:val="single" w:sz="4" w:color="D9D9D9"/>
              <w:bottom w:val="single" w:sz="4" w:color="D9D9D9"/>
              <w:right w:val="single" w:sz="4" w:color="D9D9D9"/>
            </w:tcBorders>
            <w:shd w:fill="F6F7F8"/>
          </w:tcPr>
          <w:p>
            <w:pPr>
              <w:spacing w:after="100" w:before="100"/>
            </w:pPr>
            <w:r>
              <w:rPr>
                <w:b w:val="0"/>
                <w:sz w:val="20"/>
              </w:rPr>
              <w:t>audit and integration</w:t>
            </w:r>
          </w:p>
        </w:tc>
        <w:tc>
          <w:tcPr>
            <w:tcW w:type="dxa" w:w="7632"/>
            <w:tcBorders>
              <w:top w:val="single" w:sz="4" w:color="D9D9D9"/>
              <w:left w:val="single" w:sz="4" w:color="D9D9D9"/>
              <w:bottom w:val="single" w:sz="4" w:color="D9D9D9"/>
              <w:right w:val="single" w:sz="4" w:color="D9D9D9"/>
            </w:tcBorders>
            <w:shd w:fill="F6F7F8"/>
          </w:tcPr>
          <w:p>
            <w:pPr>
              <w:spacing w:after="100" w:before="100"/>
            </w:pPr>
            <w:r>
              <w:rPr>
                <w:b w:val="0"/>
                <w:sz w:val="20"/>
              </w:rPr>
              <w:t>Append only business audit, security events and durable outbox dispatch.</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contact and notification</w:t>
            </w:r>
          </w:p>
        </w:tc>
        <w:tc>
          <w:tcPr>
            <w:tcW w:type="dxa" w:w="7632"/>
            <w:tcBorders>
              <w:top w:val="single" w:sz="4" w:color="D9D9D9"/>
              <w:left w:val="single" w:sz="4" w:color="D9D9D9"/>
              <w:bottom w:val="single" w:sz="4" w:color="D9D9D9"/>
              <w:right w:val="single" w:sz="4" w:color="D9D9D9"/>
            </w:tcBorders>
            <w:shd w:fill="FFFFFF"/>
          </w:tcPr>
          <w:p>
            <w:pPr>
              <w:spacing w:after="100" w:before="100"/>
            </w:pPr>
            <w:r>
              <w:rPr>
                <w:b w:val="0"/>
                <w:sz w:val="20"/>
              </w:rPr>
              <w:t>General inquiries and local email sink; no support ticket lifecycle.</w:t>
            </w:r>
          </w:p>
        </w:tc>
      </w:tr>
    </w:tbl>
    <w:p/>
    <w:p>
      <w:r>
        <w:t>Frontend features mirror journeys rather than persistence tables: home, contact, auth, profile, catalog, cart, shipping, payment, confirmation, orders and staff console. Shared components handle navigation, validation summaries and accessible inputs. React route guards improve experience; backend checks are authoritative. Contact inquiry acknowledgment and simulated email delivery remain separate from support tickets. Trace: UX01–UX04, ACC04–ACC06, ORD01–ORD08.</w:t>
      </w:r>
    </w:p>
    <w:p>
      <w:pPr>
        <w:pStyle w:val="Heading1"/>
      </w:pPr>
      <w:r>
        <w:t>D3 Domain and relational model</w:t>
      </w:r>
    </w:p>
    <w:tbl>
      <w:tblPr>
        <w:tblW w:type="auto" w:w="0"/>
        <w:tblLayout w:type="fixed"/>
        <w:tblLook w:firstColumn="1" w:firstRow="1" w:lastColumn="0" w:lastRow="0" w:noHBand="0" w:noVBand="1" w:val="04A0"/>
      </w:tblPr>
      <w:tblGrid>
        <w:gridCol w:w="4968"/>
        <w:gridCol w:w="4968"/>
      </w:tblGrid>
      <w:tr>
        <w:trPr>
          <w:tblHeader/>
        </w:trPr>
        <w:tc>
          <w:tcPr>
            <w:tcW w:type="dxa" w:w="2304"/>
            <w:tcBorders>
              <w:top w:val="single" w:sz="4" w:color="D9D9D9"/>
              <w:left w:val="single" w:sz="4" w:color="D9D9D9"/>
              <w:bottom w:val="single" w:sz="4" w:color="D9D9D9"/>
              <w:right w:val="single" w:sz="4" w:color="D9D9D9"/>
            </w:tcBorders>
            <w:shd w:fill="E7EDF2"/>
          </w:tcPr>
          <w:p>
            <w:pPr>
              <w:spacing w:after="100" w:before="100"/>
            </w:pPr>
            <w:r>
              <w:rPr>
                <w:b/>
                <w:sz w:val="20"/>
              </w:rPr>
              <w:t>Entity</w:t>
            </w:r>
          </w:p>
        </w:tc>
        <w:tc>
          <w:tcPr>
            <w:tcW w:type="dxa" w:w="7488"/>
            <w:tcBorders>
              <w:top w:val="single" w:sz="4" w:color="D9D9D9"/>
              <w:left w:val="single" w:sz="4" w:color="D9D9D9"/>
              <w:bottom w:val="single" w:sz="4" w:color="D9D9D9"/>
              <w:right w:val="single" w:sz="4" w:color="D9D9D9"/>
            </w:tcBorders>
            <w:shd w:fill="E7EDF2"/>
          </w:tcPr>
          <w:p>
            <w:pPr>
              <w:spacing w:after="100" w:before="100"/>
            </w:pPr>
            <w:r>
              <w:rPr>
                <w:b/>
                <w:sz w:val="20"/>
              </w:rPr>
              <w:t>Principal fields and constraints</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User and Role</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UUID user ID; unique normalized email; password hash; unique account number from sequence starting 1000; enabled; security version; created and last successful access UTC. UserRole joins constrained role names.</w:t>
            </w:r>
          </w:p>
        </w:tc>
      </w:tr>
      <w:tr>
        <w:tc>
          <w:tcPr>
            <w:tcW w:type="dxa" w:w="2304"/>
            <w:tcBorders>
              <w:top w:val="single" w:sz="4" w:color="D9D9D9"/>
              <w:left w:val="single" w:sz="4" w:color="D9D9D9"/>
              <w:bottom w:val="single" w:sz="4" w:color="D9D9D9"/>
              <w:right w:val="single" w:sz="4" w:color="D9D9D9"/>
            </w:tcBorders>
            <w:shd w:fill="F6F7F8"/>
          </w:tcPr>
          <w:p>
            <w:pPr>
              <w:spacing w:after="100" w:before="100"/>
            </w:pPr>
            <w:r>
              <w:rPr>
                <w:b w:val="0"/>
                <w:sz w:val="20"/>
              </w:rPr>
              <w:t>CustomerProfile Contact Address</w:t>
            </w:r>
          </w:p>
        </w:tc>
        <w:tc>
          <w:tcPr>
            <w:tcW w:type="dxa" w:w="7488"/>
            <w:tcBorders>
              <w:top w:val="single" w:sz="4" w:color="D9D9D9"/>
              <w:left w:val="single" w:sz="4" w:color="D9D9D9"/>
              <w:bottom w:val="single" w:sz="4" w:color="D9D9D9"/>
              <w:right w:val="single" w:sz="4" w:color="D9D9D9"/>
            </w:tcBorders>
            <w:shd w:fill="F6F7F8"/>
          </w:tcPr>
          <w:p>
            <w:pPr>
              <w:spacing w:after="100" w:before="100"/>
            </w:pPr>
            <w:r>
              <w:rPr>
                <w:b w:val="0"/>
                <w:sz w:val="20"/>
              </w:rPr>
              <w:t>Profile belongs to one user; individual or business and optional business name. Contact unique by user and P/A type; address unique by user and M/S type; created and updated timestamps. Account number is derived via User.</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Product InventoryBalance</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UUID product ID; unique SKU; manufacturer, model, category, condition, specs, active and description; price numeric(12,2). Balance one to one with product; nonnegative integer stock; reorder point and quantity; optimistic version.</w:t>
            </w:r>
          </w:p>
        </w:tc>
      </w:tr>
      <w:tr>
        <w:tc>
          <w:tcPr>
            <w:tcW w:type="dxa" w:w="2304"/>
            <w:tcBorders>
              <w:top w:val="single" w:sz="4" w:color="D9D9D9"/>
              <w:left w:val="single" w:sz="4" w:color="D9D9D9"/>
              <w:bottom w:val="single" w:sz="4" w:color="D9D9D9"/>
              <w:right w:val="single" w:sz="4" w:color="D9D9D9"/>
            </w:tcBorders>
            <w:shd w:fill="F6F7F8"/>
          </w:tcPr>
          <w:p>
            <w:pPr>
              <w:spacing w:after="100" w:before="100"/>
            </w:pPr>
            <w:r>
              <w:rPr>
                <w:b w:val="0"/>
                <w:sz w:val="20"/>
              </w:rPr>
              <w:t>Cart CartLine</w:t>
            </w:r>
          </w:p>
        </w:tc>
        <w:tc>
          <w:tcPr>
            <w:tcW w:type="dxa" w:w="7488"/>
            <w:tcBorders>
              <w:top w:val="single" w:sz="4" w:color="D9D9D9"/>
              <w:left w:val="single" w:sz="4" w:color="D9D9D9"/>
              <w:bottom w:val="single" w:sz="4" w:color="D9D9D9"/>
              <w:right w:val="single" w:sz="4" w:color="D9D9D9"/>
            </w:tcBorders>
            <w:shd w:fill="F6F7F8"/>
          </w:tcPr>
          <w:p>
            <w:pPr>
              <w:spacing w:after="100" w:before="100"/>
            </w:pPr>
            <w:r>
              <w:rPr>
                <w:b w:val="0"/>
                <w:sz w:val="20"/>
              </w:rPr>
              <w:t>Unique active cart per user; cart version; unique cart and product pair; positive integer quantity. Product FK retained; no price guarantee.</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Order OrderLine</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UUID order ID and unique human order number; customer FK; status; USD subtotal shipping tax total; immutable shipping and primary contact snapshots. Lines snapshot SKU, description, unit price, condition and quantity.</w:t>
            </w:r>
          </w:p>
        </w:tc>
      </w:tr>
      <w:tr>
        <w:tc>
          <w:tcPr>
            <w:tcW w:type="dxa" w:w="2304"/>
            <w:tcBorders>
              <w:top w:val="single" w:sz="4" w:color="D9D9D9"/>
              <w:left w:val="single" w:sz="4" w:color="D9D9D9"/>
              <w:bottom w:val="single" w:sz="4" w:color="D9D9D9"/>
              <w:right w:val="single" w:sz="4" w:color="D9D9D9"/>
            </w:tcBorders>
            <w:shd w:fill="F6F7F8"/>
          </w:tcPr>
          <w:p>
            <w:pPr>
              <w:spacing w:after="100" w:before="100"/>
            </w:pPr>
            <w:r>
              <w:rPr>
                <w:b w:val="0"/>
                <w:sz w:val="20"/>
              </w:rPr>
              <w:t>PaymentAttempt</w:t>
            </w:r>
          </w:p>
        </w:tc>
        <w:tc>
          <w:tcPr>
            <w:tcW w:type="dxa" w:w="7488"/>
            <w:tcBorders>
              <w:top w:val="single" w:sz="4" w:color="D9D9D9"/>
              <w:left w:val="single" w:sz="4" w:color="D9D9D9"/>
              <w:bottom w:val="single" w:sz="4" w:color="D9D9D9"/>
              <w:right w:val="single" w:sz="4" w:color="D9D9D9"/>
            </w:tcBorders>
            <w:shd w:fill="F6F7F8"/>
          </w:tcPr>
          <w:p>
            <w:pPr>
              <w:spacing w:after="100" w:before="100"/>
            </w:pPr>
            <w:r>
              <w:rPr>
                <w:b w:val="0"/>
                <w:sz w:val="20"/>
              </w:rPr>
              <w:t>Order FK; scenario; simulated method; APPROVED or DECLINED; unique simulator transaction reference; amount; created time. No payment credential fields.</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StockMovement Replenishment</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Movement quantity delta, product and order or receipt reference; unique approved order/product decrement. Request tracks requested quantity, pending/dispatched/received states and timestamps; at most one open request per product.</w:t>
            </w:r>
          </w:p>
        </w:tc>
      </w:tr>
      <w:tr>
        <w:tc>
          <w:tcPr>
            <w:tcW w:type="dxa" w:w="2304"/>
            <w:tcBorders>
              <w:top w:val="single" w:sz="4" w:color="D9D9D9"/>
              <w:left w:val="single" w:sz="4" w:color="D9D9D9"/>
              <w:bottom w:val="single" w:sz="4" w:color="D9D9D9"/>
              <w:right w:val="single" w:sz="4" w:color="D9D9D9"/>
            </w:tcBorders>
            <w:shd w:fill="F6F7F8"/>
          </w:tcPr>
          <w:p>
            <w:pPr>
              <w:spacing w:after="100" w:before="100"/>
            </w:pPr>
            <w:r>
              <w:rPr>
                <w:b w:val="0"/>
                <w:sz w:val="20"/>
              </w:rPr>
              <w:t>Session RefreshToken ResetToken</w:t>
            </w:r>
          </w:p>
        </w:tc>
        <w:tc>
          <w:tcPr>
            <w:tcW w:type="dxa" w:w="7488"/>
            <w:tcBorders>
              <w:top w:val="single" w:sz="4" w:color="D9D9D9"/>
              <w:left w:val="single" w:sz="4" w:color="D9D9D9"/>
              <w:bottom w:val="single" w:sz="4" w:color="D9D9D9"/>
              <w:right w:val="single" w:sz="4" w:color="D9D9D9"/>
            </w:tcBorders>
            <w:shd w:fill="F6F7F8"/>
          </w:tcPr>
          <w:p>
            <w:pPr>
              <w:spacing w:after="100" w:before="100"/>
            </w:pPr>
            <w:r>
              <w:rPr>
                <w:b w:val="0"/>
                <w:sz w:val="20"/>
              </w:rPr>
              <w:t>Session user FK, family ID, revoked time, absolute expiry and last use. Refresh token digest, unique token ID, expiry, used time and replacement ID. Reset digest, used and expiry time.</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IdempotencyRecord</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Unique customer and key; canonical request digest; resulting order ID; response status; created timestamp. Stored in same transaction as checkout.</w:t>
            </w:r>
          </w:p>
        </w:tc>
      </w:tr>
      <w:tr>
        <w:tc>
          <w:tcPr>
            <w:tcW w:type="dxa" w:w="2304"/>
            <w:tcBorders>
              <w:top w:val="single" w:sz="4" w:color="D9D9D9"/>
              <w:left w:val="single" w:sz="4" w:color="D9D9D9"/>
              <w:bottom w:val="single" w:sz="4" w:color="D9D9D9"/>
              <w:right w:val="single" w:sz="4" w:color="D9D9D9"/>
            </w:tcBorders>
            <w:shd w:fill="F6F7F8"/>
          </w:tcPr>
          <w:p>
            <w:pPr>
              <w:spacing w:after="100" w:before="100"/>
            </w:pPr>
            <w:r>
              <w:rPr>
                <w:b w:val="0"/>
                <w:sz w:val="20"/>
              </w:rPr>
              <w:t>AuditEvent Outbox ContactInquiry</w:t>
            </w:r>
          </w:p>
        </w:tc>
        <w:tc>
          <w:tcPr>
            <w:tcW w:type="dxa" w:w="7488"/>
            <w:tcBorders>
              <w:top w:val="single" w:sz="4" w:color="D9D9D9"/>
              <w:left w:val="single" w:sz="4" w:color="D9D9D9"/>
              <w:bottom w:val="single" w:sz="4" w:color="D9D9D9"/>
              <w:right w:val="single" w:sz="4" w:color="D9D9D9"/>
            </w:tcBorders>
            <w:shd w:fill="F6F7F8"/>
          </w:tcPr>
          <w:p>
            <w:pPr>
              <w:spacing w:after="100" w:before="100"/>
            </w:pPr>
            <w:r>
              <w:rPr>
                <w:b w:val="0"/>
                <w:sz w:val="20"/>
              </w:rPr>
              <w:t>Append only actor/action/entity/time and sanitized metadata; outbox unique event ID with retries; inquiry email, phone, reason, bounded message and reference.</w:t>
            </w:r>
          </w:p>
        </w:tc>
      </w:tr>
    </w:tbl>
    <w:p/>
    <w:p>
      <w:r>
        <w:t>User has one profile and many sessions, contacts, addresses and orders. Order has many lines and payment attempts. Product has one stock balance and many cart lines and movements. Snapshot fields are deliberately duplicated to preserve historical facts when profile or product changes. Use timestamptz in PostgreSQL and Instant in Java, UTC in APIs. Use BigDecimal for money and integer units for stock; never float. Database foreign keys, uniqueness and CHECK constraints reinforce domain validation. Index normalized email, SKU, active/category/manufacturer, customer order date, session token digest and pending outbox next attempt time. Search initially uses indexed structured filters and bounded case insensitive text search; add full text indexing only with workload evidence. Trace: ACC01, CAT01, ORD03–ORD05, AUD01.</w:t>
      </w:r>
    </w:p>
    <w:p>
      <w:pPr>
        <w:pStyle w:val="Heading1"/>
      </w:pPr>
      <w:r>
        <w:t>D4 API design and contracts</w:t>
      </w:r>
    </w:p>
    <w:p>
      <w:r>
        <w:t>Use /api/v1, JSON DTOs, UUID resource IDs and UTC ISO 8601 timestamps. OpenAPI defines schemas, required fields, security and response examples. Never serialize JPA entities. Lists return items, page, size and total with stable sorting; default size 20 and maximum 100. Allowlisted sort/filter fields prevent arbitrary query construction. Trace: TECH02, CAT02, ORD04.</w:t>
      </w:r>
    </w:p>
    <w:tbl>
      <w:tblPr>
        <w:tblW w:type="auto" w:w="0"/>
        <w:tblLayout w:type="fixed"/>
        <w:tblLook w:firstColumn="1" w:firstRow="1" w:lastColumn="0" w:lastRow="0" w:noHBand="0" w:noVBand="1" w:val="04A0"/>
      </w:tblPr>
      <w:tblGrid>
        <w:gridCol w:w="4968"/>
        <w:gridCol w:w="4968"/>
      </w:tblGrid>
      <w:tr>
        <w:trPr>
          <w:tblHeader/>
        </w:trPr>
        <w:tc>
          <w:tcPr>
            <w:tcW w:type="dxa" w:w="4176"/>
            <w:tcBorders>
              <w:top w:val="single" w:sz="4" w:color="D9D9D9"/>
              <w:left w:val="single" w:sz="4" w:color="D9D9D9"/>
              <w:bottom w:val="single" w:sz="4" w:color="D9D9D9"/>
              <w:right w:val="single" w:sz="4" w:color="D9D9D9"/>
            </w:tcBorders>
            <w:shd w:fill="E7EDF2"/>
          </w:tcPr>
          <w:p>
            <w:pPr>
              <w:spacing w:after="100" w:before="100"/>
            </w:pPr>
            <w:r>
              <w:rPr>
                <w:b/>
                <w:sz w:val="20"/>
              </w:rPr>
              <w:t>Route and method</w:t>
            </w:r>
          </w:p>
        </w:tc>
        <w:tc>
          <w:tcPr>
            <w:tcW w:type="dxa" w:w="5616"/>
            <w:tcBorders>
              <w:top w:val="single" w:sz="4" w:color="D9D9D9"/>
              <w:left w:val="single" w:sz="4" w:color="D9D9D9"/>
              <w:bottom w:val="single" w:sz="4" w:color="D9D9D9"/>
              <w:right w:val="single" w:sz="4" w:color="D9D9D9"/>
            </w:tcBorders>
            <w:shd w:fill="E7EDF2"/>
          </w:tcPr>
          <w:p>
            <w:pPr>
              <w:spacing w:after="100" w:before="100"/>
            </w:pPr>
            <w:r>
              <w:rPr>
                <w:b/>
                <w:sz w:val="20"/>
              </w:rPr>
              <w:t>Contract and authority</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POST /auth/register; /auth/login</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Register CUSTOMER and return 201; login returns access token and sets refresh cookie. Generic login failure 401; registration cannot accept role fields.</w:t>
            </w:r>
          </w:p>
        </w:tc>
      </w:tr>
      <w:tr>
        <w:tc>
          <w:tcPr>
            <w:tcW w:type="dxa" w:w="4176"/>
            <w:tcBorders>
              <w:top w:val="single" w:sz="4" w:color="D9D9D9"/>
              <w:left w:val="single" w:sz="4" w:color="D9D9D9"/>
              <w:bottom w:val="single" w:sz="4" w:color="D9D9D9"/>
              <w:right w:val="single" w:sz="4" w:color="D9D9D9"/>
            </w:tcBorders>
            <w:shd w:fill="F6F7F8"/>
          </w:tcPr>
          <w:p>
            <w:pPr>
              <w:spacing w:after="100" w:before="100"/>
            </w:pPr>
            <w:r>
              <w:rPr>
                <w:b w:val="0"/>
                <w:sz w:val="20"/>
              </w:rPr>
              <w:t>GET /auth/csrf; POST /auth/refresh</w:t>
            </w:r>
          </w:p>
        </w:tc>
        <w:tc>
          <w:tcPr>
            <w:tcW w:type="dxa" w:w="5616"/>
            <w:tcBorders>
              <w:top w:val="single" w:sz="4" w:color="D9D9D9"/>
              <w:left w:val="single" w:sz="4" w:color="D9D9D9"/>
              <w:bottom w:val="single" w:sz="4" w:color="D9D9D9"/>
              <w:right w:val="single" w:sz="4" w:color="D9D9D9"/>
            </w:tcBorders>
            <w:shd w:fill="F6F7F8"/>
          </w:tcPr>
          <w:p>
            <w:pPr>
              <w:spacing w:after="100" w:before="100"/>
            </w:pPr>
            <w:r>
              <w:rPr>
                <w:b w:val="0"/>
                <w:sz w:val="20"/>
              </w:rPr>
              <w:t>CSRF bootstrap; refresh rotates cookie and returns access token. Cookie, origin and CSRF protection apply.</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POST /auth/logout; /auth/logout-all</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Revoke current or all user sessions and clear cookie; 204. All requires active principal.</w:t>
            </w:r>
          </w:p>
        </w:tc>
      </w:tr>
      <w:tr>
        <w:tc>
          <w:tcPr>
            <w:tcW w:type="dxa" w:w="4176"/>
            <w:tcBorders>
              <w:top w:val="single" w:sz="4" w:color="D9D9D9"/>
              <w:left w:val="single" w:sz="4" w:color="D9D9D9"/>
              <w:bottom w:val="single" w:sz="4" w:color="D9D9D9"/>
              <w:right w:val="single" w:sz="4" w:color="D9D9D9"/>
            </w:tcBorders>
            <w:shd w:fill="F6F7F8"/>
          </w:tcPr>
          <w:p>
            <w:pPr>
              <w:spacing w:after="100" w:before="100"/>
            </w:pPr>
            <w:r>
              <w:rPr>
                <w:b w:val="0"/>
                <w:sz w:val="20"/>
              </w:rPr>
              <w:t>POST /auth/recovery; /auth/reset</w:t>
            </w:r>
          </w:p>
        </w:tc>
        <w:tc>
          <w:tcPr>
            <w:tcW w:type="dxa" w:w="5616"/>
            <w:tcBorders>
              <w:top w:val="single" w:sz="4" w:color="D9D9D9"/>
              <w:left w:val="single" w:sz="4" w:color="D9D9D9"/>
              <w:bottom w:val="single" w:sz="4" w:color="D9D9D9"/>
              <w:right w:val="single" w:sz="4" w:color="D9D9D9"/>
            </w:tcBorders>
            <w:shd w:fill="F6F7F8"/>
          </w:tcPr>
          <w:p>
            <w:pPr>
              <w:spacing w:after="100" w:before="100"/>
            </w:pPr>
            <w:r>
              <w:rPr>
                <w:b w:val="0"/>
                <w:sz w:val="20"/>
              </w:rPr>
              <w:t>Recovery always 202; reset consumes valid token once. Developer sink only in local/demo.</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GET PUT /me/profile</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Read and atomically save own profile, contacts and addresses; validated DTO and version conflict 409.</w:t>
            </w:r>
          </w:p>
        </w:tc>
      </w:tr>
      <w:tr>
        <w:tc>
          <w:tcPr>
            <w:tcW w:type="dxa" w:w="4176"/>
            <w:tcBorders>
              <w:top w:val="single" w:sz="4" w:color="D9D9D9"/>
              <w:left w:val="single" w:sz="4" w:color="D9D9D9"/>
              <w:bottom w:val="single" w:sz="4" w:color="D9D9D9"/>
              <w:right w:val="single" w:sz="4" w:color="D9D9D9"/>
            </w:tcBorders>
            <w:shd w:fill="F6F7F8"/>
          </w:tcPr>
          <w:p>
            <w:pPr>
              <w:spacing w:after="100" w:before="100"/>
            </w:pPr>
            <w:r>
              <w:rPr>
                <w:b w:val="0"/>
                <w:sz w:val="20"/>
              </w:rPr>
              <w:t>GET /products; /products/{id}</w:t>
            </w:r>
          </w:p>
        </w:tc>
        <w:tc>
          <w:tcPr>
            <w:tcW w:type="dxa" w:w="5616"/>
            <w:tcBorders>
              <w:top w:val="single" w:sz="4" w:color="D9D9D9"/>
              <w:left w:val="single" w:sz="4" w:color="D9D9D9"/>
              <w:bottom w:val="single" w:sz="4" w:color="D9D9D9"/>
              <w:right w:val="single" w:sz="4" w:color="D9D9D9"/>
            </w:tcBorders>
            <w:shd w:fill="F6F7F8"/>
          </w:tcPr>
          <w:p>
            <w:pPr>
              <w:spacing w:after="100" w:before="100"/>
            </w:pPr>
            <w:r>
              <w:rPr>
                <w:b w:val="0"/>
                <w:sz w:val="20"/>
              </w:rPr>
              <w:t>Public active product reads with q, category, manufacturer, condition and price range.</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GET /cart; PUT DELETE /cart/items/{productId}</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Own cart operations; quantity and cart version; stale update 409.</w:t>
            </w:r>
          </w:p>
        </w:tc>
      </w:tr>
      <w:tr>
        <w:tc>
          <w:tcPr>
            <w:tcW w:type="dxa" w:w="4176"/>
            <w:tcBorders>
              <w:top w:val="single" w:sz="4" w:color="D9D9D9"/>
              <w:left w:val="single" w:sz="4" w:color="D9D9D9"/>
              <w:bottom w:val="single" w:sz="4" w:color="D9D9D9"/>
              <w:right w:val="single" w:sz="4" w:color="D9D9D9"/>
            </w:tcBorders>
            <w:shd w:fill="F6F7F8"/>
          </w:tcPr>
          <w:p>
            <w:pPr>
              <w:spacing w:after="100" w:before="100"/>
            </w:pPr>
            <w:r>
              <w:rPr>
                <w:b w:val="0"/>
                <w:sz w:val="20"/>
              </w:rPr>
              <w:t>POST /checkout/quote</w:t>
            </w:r>
          </w:p>
        </w:tc>
        <w:tc>
          <w:tcPr>
            <w:tcW w:type="dxa" w:w="5616"/>
            <w:tcBorders>
              <w:top w:val="single" w:sz="4" w:color="D9D9D9"/>
              <w:left w:val="single" w:sz="4" w:color="D9D9D9"/>
              <w:bottom w:val="single" w:sz="4" w:color="D9D9D9"/>
              <w:right w:val="single" w:sz="4" w:color="D9D9D9"/>
            </w:tcBorders>
            <w:shd w:fill="F6F7F8"/>
          </w:tcPr>
          <w:p>
            <w:pPr>
              <w:spacing w:after="100" w:before="100"/>
            </w:pPr>
            <w:r>
              <w:rPr>
                <w:b w:val="0"/>
                <w:sz w:val="20"/>
              </w:rPr>
              <w:t>Own cart and shipping input; returns quote digest, totals and policy version; expires after 10 minutes.</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POST /orders</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Requires Idempotency-Key and quote digest; shipping and simulated scenario. Returns 201 with CONFIRMED or PAYMENT_FAILED order; repeated identical submission returns original result.</w:t>
            </w:r>
          </w:p>
        </w:tc>
      </w:tr>
      <w:tr>
        <w:tc>
          <w:tcPr>
            <w:tcW w:type="dxa" w:w="4176"/>
            <w:tcBorders>
              <w:top w:val="single" w:sz="4" w:color="D9D9D9"/>
              <w:left w:val="single" w:sz="4" w:color="D9D9D9"/>
              <w:bottom w:val="single" w:sz="4" w:color="D9D9D9"/>
              <w:right w:val="single" w:sz="4" w:color="D9D9D9"/>
            </w:tcBorders>
            <w:shd w:fill="F6F7F8"/>
          </w:tcPr>
          <w:p>
            <w:pPr>
              <w:spacing w:after="100" w:before="100"/>
            </w:pPr>
            <w:r>
              <w:rPr>
                <w:b w:val="0"/>
                <w:sz w:val="20"/>
              </w:rPr>
              <w:t>GET /orders; /orders/{id}</w:t>
            </w:r>
          </w:p>
        </w:tc>
        <w:tc>
          <w:tcPr>
            <w:tcW w:type="dxa" w:w="5616"/>
            <w:tcBorders>
              <w:top w:val="single" w:sz="4" w:color="D9D9D9"/>
              <w:left w:val="single" w:sz="4" w:color="D9D9D9"/>
              <w:bottom w:val="single" w:sz="4" w:color="D9D9D9"/>
              <w:right w:val="single" w:sz="4" w:color="D9D9D9"/>
            </w:tcBorders>
            <w:shd w:fill="F6F7F8"/>
          </w:tcPr>
          <w:p>
            <w:pPr>
              <w:spacing w:after="100" w:before="100"/>
            </w:pPr>
            <w:r>
              <w:rPr>
                <w:b w:val="0"/>
                <w:sz w:val="20"/>
              </w:rPr>
              <w:t>Own customer orders; internal scoped read permissions. Unauthorized object reads return 404.</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PATCH /staff/orders/{id}/status</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SALES or ADMIN with expected version and legal next status; tracking required at SHIPPED.</w:t>
            </w:r>
          </w:p>
        </w:tc>
      </w:tr>
      <w:tr>
        <w:tc>
          <w:tcPr>
            <w:tcW w:type="dxa" w:w="4176"/>
            <w:tcBorders>
              <w:top w:val="single" w:sz="4" w:color="D9D9D9"/>
              <w:left w:val="single" w:sz="4" w:color="D9D9D9"/>
              <w:bottom w:val="single" w:sz="4" w:color="D9D9D9"/>
              <w:right w:val="single" w:sz="4" w:color="D9D9D9"/>
            </w:tcBorders>
            <w:shd w:fill="F6F7F8"/>
          </w:tcPr>
          <w:p>
            <w:pPr>
              <w:spacing w:after="100" w:before="100"/>
            </w:pPr>
            <w:r>
              <w:rPr>
                <w:b w:val="0"/>
                <w:sz w:val="20"/>
              </w:rPr>
              <w:t>POST PUT /admin/products; /{id}</w:t>
            </w:r>
          </w:p>
        </w:tc>
        <w:tc>
          <w:tcPr>
            <w:tcW w:type="dxa" w:w="5616"/>
            <w:tcBorders>
              <w:top w:val="single" w:sz="4" w:color="D9D9D9"/>
              <w:left w:val="single" w:sz="4" w:color="D9D9D9"/>
              <w:bottom w:val="single" w:sz="4" w:color="D9D9D9"/>
              <w:right w:val="single" w:sz="4" w:color="D9D9D9"/>
            </w:tcBorders>
            <w:shd w:fill="F6F7F8"/>
          </w:tcPr>
          <w:p>
            <w:pPr>
              <w:spacing w:after="100" w:before="100"/>
            </w:pPr>
            <w:r>
              <w:rPr>
                <w:b w:val="0"/>
                <w:sz w:val="20"/>
              </w:rPr>
              <w:t>ADMIN catalog mutations, validation and expected version; use active=false rather than deleting historical products.</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POST /admin/inventory/adjustments; /receipts</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ADMIN stock adjustments or replenishment receipt with reason and idempotency reference.</w:t>
            </w:r>
          </w:p>
        </w:tc>
      </w:tr>
      <w:tr>
        <w:tc>
          <w:tcPr>
            <w:tcW w:type="dxa" w:w="4176"/>
            <w:tcBorders>
              <w:top w:val="single" w:sz="4" w:color="D9D9D9"/>
              <w:left w:val="single" w:sz="4" w:color="D9D9D9"/>
              <w:bottom w:val="single" w:sz="4" w:color="D9D9D9"/>
              <w:right w:val="single" w:sz="4" w:color="D9D9D9"/>
            </w:tcBorders>
            <w:shd w:fill="F6F7F8"/>
          </w:tcPr>
          <w:p>
            <w:pPr>
              <w:spacing w:after="100" w:before="100"/>
            </w:pPr>
            <w:r>
              <w:rPr>
                <w:b w:val="0"/>
                <w:sz w:val="20"/>
              </w:rPr>
              <w:t>POST /admin/users/{id}/roles; /enabled</w:t>
            </w:r>
          </w:p>
        </w:tc>
        <w:tc>
          <w:tcPr>
            <w:tcW w:type="dxa" w:w="5616"/>
            <w:tcBorders>
              <w:top w:val="single" w:sz="4" w:color="D9D9D9"/>
              <w:left w:val="single" w:sz="4" w:color="D9D9D9"/>
              <w:bottom w:val="single" w:sz="4" w:color="D9D9D9"/>
              <w:right w:val="single" w:sz="4" w:color="D9D9D9"/>
            </w:tcBorders>
            <w:shd w:fill="F6F7F8"/>
          </w:tcPr>
          <w:p>
            <w:pPr>
              <w:spacing w:after="100" w:before="100"/>
            </w:pPr>
            <w:r>
              <w:rPr>
                <w:b w:val="0"/>
                <w:sz w:val="20"/>
              </w:rPr>
              <w:t>ADMIN role or account changes and session revocation; protected initial admin bootstrap.</w:t>
            </w:r>
          </w:p>
        </w:tc>
      </w:tr>
      <w:tr>
        <w:tc>
          <w:tcPr>
            <w:tcW w:type="dxa" w:w="4176"/>
            <w:tcBorders>
              <w:top w:val="single" w:sz="4" w:color="D9D9D9"/>
              <w:left w:val="single" w:sz="4" w:color="D9D9D9"/>
              <w:bottom w:val="single" w:sz="4" w:color="D9D9D9"/>
              <w:right w:val="single" w:sz="4" w:color="D9D9D9"/>
            </w:tcBorders>
            <w:shd w:fill="FFFFFF"/>
          </w:tcPr>
          <w:p>
            <w:pPr>
              <w:spacing w:after="100" w:before="100"/>
            </w:pPr>
            <w:r>
              <w:rPr>
                <w:b w:val="0"/>
                <w:sz w:val="20"/>
              </w:rPr>
              <w:t>GET /admin/audit; POST /contact-inquiries</w:t>
            </w:r>
          </w:p>
        </w:tc>
        <w:tc>
          <w:tcPr>
            <w:tcW w:type="dxa" w:w="5616"/>
            <w:tcBorders>
              <w:top w:val="single" w:sz="4" w:color="D9D9D9"/>
              <w:left w:val="single" w:sz="4" w:color="D9D9D9"/>
              <w:bottom w:val="single" w:sz="4" w:color="D9D9D9"/>
              <w:right w:val="single" w:sz="4" w:color="D9D9D9"/>
            </w:tcBorders>
            <w:shd w:fill="FFFFFF"/>
          </w:tcPr>
          <w:p>
            <w:pPr>
              <w:spacing w:after="100" w:before="100"/>
            </w:pPr>
            <w:r>
              <w:rPr>
                <w:b w:val="0"/>
                <w:sz w:val="20"/>
              </w:rPr>
              <w:t>ADMIN paginated sanitized audit; public throttled contact submit returns 202 and acknowledgment reference.</w:t>
            </w:r>
          </w:p>
        </w:tc>
      </w:tr>
    </w:tbl>
    <w:p/>
    <w:p>
      <w:r>
        <w:t>Example order input contains quoteDigest, cartVersion, shippingAddress, paymentMethod=SIMULATED_CARD and scenario=APPROVE. The server obtains customer identity from the principal. Example output contains orderId, orderNumber, status=CONFIRMED, currency=USD, total and simulatedTransactionId. Price and customer IDs supplied by clients confer no authority. OpenAPI shall document PAYMENT_FAILED as a business result, not an HTTP transport failure.</w:t>
      </w:r>
    </w:p>
    <w:p>
      <w:pPr>
        <w:pStyle w:val="Heading1"/>
      </w:pPr>
      <w:r>
        <w:t>D5 Security and authentication</w:t>
      </w:r>
    </w:p>
    <w:p>
      <w:r>
        <w:t>Use Spring Security standard password authentication and JWT resource server decoding. Application issued access JWTs do not imply a full OAuth authorization server or OIDC implementation. Passwords use a configured adaptive PasswordEncoder; calibrate its work factor on target hardware and allow future hash upgrades. Password length is 12–128 characters, with spaces and symbols allowed; never trim password input. Normalize email consistently for identity lookup. Self registration never accepts privileged roles. Admin provisioning is an explicit one time command using injected bootstrap credentials; no fixed admin password in seeds.</w:t>
      </w:r>
    </w:p>
    <w:p>
      <w:r>
        <w:t>Enforce method level role checks and ownership in repository queries. SUPPORT receives only inquiry relevant contact and order fields, never credential, token or unrestricted audit data. SALES cannot change price, stock or roles. Only ADMIN can adjust inventory with a reason. Deny by default and test every route against role and ownership combinations. Store minimal personal data; exclude it from general logs. General inquiries have a proposed 90 day retention; orders, financial simulation records and audit retention require business approval before external release.</w:t>
      </w:r>
    </w:p>
    <w:p>
      <w:r>
        <w:t>Use HTTPS outside local development, explicit CORS allowlists where origins differ, CSP without unsafe script execution, secure response headers and bounded payloads. Use rate limits keyed by normalized account and source IP: five login failures per 15 minutes followed by a 15 minute throttle; recovery five requests per hour; public contact ten per hour. Use generic responses to limit enumeration. In a multi instance deployment move throttle counters to shared storage. Trace: ACC01–ACC03, SEC01–SEC04.</w:t>
      </w:r>
    </w:p>
    <w:p>
      <w:pPr>
        <w:pStyle w:val="Heading1"/>
      </w:pPr>
      <w:r>
        <w:t>D6 JWT and session lifecycle</w:t>
      </w:r>
    </w:p>
    <w:p>
      <w:r>
        <w:t>Login creates a database session and an opaque cryptographically random refresh token; retain only a SHA 256 digest of its high entropy value. Issue a signed access JWT with sub, sid, jti, iss, aud, iat, nbf and exp. Default access life is five minutes with at most 30 seconds clock skew. Pin an approved asymmetric algorithm and key ID; never accept algorithms selected only by untrusted input. Claims contain identifiers and roles, not profile data.</w:t>
      </w:r>
    </w:p>
    <w:p>
      <w:r>
        <w:t>On each protected request validate JWT and query session revocation, user enabled state and security version. This chosen database check makes logout and role changes effective immediately after commit, trading some database load for clear revocation. Do not add a cache without specifying and accepting its revocation delay. Refresh token idle life is seven days and family absolute life is 30 days from login; replacement expiry is the earlier bound. Require a new login after the absolute limit.</w:t>
      </w:r>
    </w:p>
    <w:p>
      <w:r>
        <w:t>Refresh holds a row lock on the session/token, verifies current unused digest, marks it consumed and creates a replacement within one transaction. A consumed token signals reuse and revokes the entire family. Commit revocation before returning failure; do not throw an exception that rolls it back. Two concurrent refreshes yield one rotation and one family revocation under this strict policy. React uses a single refresh promise plus cross tab coordination; a lost refresh response or uncoordinated tab may force login. This deliberate tradeoff avoids a grace window that could hide replay.</w:t>
      </w:r>
    </w:p>
    <w:p>
      <w:r>
        <w:t>Keep access tokens in React memory and send Authorization Bearer headers. Refresh cookie is HttpOnly, Secure, SameSite=Strict and limited to /api/v1/auth. Cookie endpoints require validated Origin and CSRF token including login and refresh; initialize CSRF before login. Secure is disabled only for explicit local HTTP profile. Clear cookie with identical path attributes on logout. Reset, disablement and role change revoke all sessions and increment security version. Retain consumed token digests through family expiry for reuse detection, then purge.</w:t>
      </w:r>
    </w:p>
    <w:p>
      <w:r>
        <w:t>Signing private keys mount as secrets; publish only public keys to validation. Rotate with overlapping public keys for the maximum access token life plus clock skew, then retire old keys. Monitor unknown key IDs and token failures without logging raw tokens. This design adopts refresh replay protection principles from RFC 9700 section 4.14; the endpoints remain application authentication APIs. References: https://www.rfc-editor.org/rfc/rfc9700.html#section-4.14 and https://docs.spring.io/spring-security/reference/servlet/oauth2/resource-server/jwt.html. Trace: SEC02–SEC04.</w:t>
      </w:r>
    </w:p>
    <w:p>
      <w:pPr>
        <w:pStyle w:val="Heading1"/>
      </w:pPr>
      <w:r>
        <w:t>D7 Checkout inventory and payment workflow</w:t>
      </w:r>
    </w:p>
    <w:p>
      <w:r>
        <w:t>1. Quote loads the customer cart, validates active products and shipping, and computes USD subtotal plus configured shipping and tax. A server generated digest binds customer, cart version, quantities, prices, shipping, policy version and expiry. Store or authenticate the quote server side; clients cannot manufacture a valid digest.</w:t>
      </w:r>
    </w:p>
    <w:p>
      <w:r>
        <w:t>2. Submission begins a transaction and acquires a customer checkout lock to serialize duplicate keys and cart submission. Check idempotency before checking a cleared cart; identical completed retry returns its persisted order. A mismatched request digest returns 409. Lock product and stock rows in product ID order, then reload cart and validate quote, product activity and stock. Admin price/active mutations must honor the same product locking order.</w:t>
      </w:r>
    </w:p>
    <w:p>
      <w:r>
        <w:t>3. Create order and immutable line/address/contact snapshots. Invoke the local pure payment simulator with an order derived transaction reference. APPROVE decrements stock, records movements and marks CONFIRMED. DECLINE records PAYMENT_FAILED and leaves stock and cart unchanged. Approved submission clears the cart in the same transaction. A customer retry after decline requires a new quote and new idempotency key.</w:t>
      </w:r>
    </w:p>
    <w:p>
      <w:r>
        <w:t>4. Persist audit, idempotency response and any replenishment/notification outbox events. Commit once. Return confirmation only after commit. Unexpected simulator or database faults roll back the entire operation; retrying the same key is safe. Enforce nonnegative stock and unique stock movement references in the database as a second defense.</w:t>
      </w:r>
    </w:p>
    <w:p>
      <w:r>
        <w:t>5. An outbox worker dispatches replenishment and simulated notification after commit. It marks events completed only after adapter success and retries failures with bounded exponential backoff and jitter. Consumers deduplicate on event ID; delivery is at least once. Stub replenishment acknowledges request without creating stock. An ADMIN receipt with unique receipt reference increments stock and closes the request. No automatic supplier purchase is made.</w:t>
      </w:r>
    </w:p>
    <w:p>
      <w:r>
        <w:t>Demo methods are SIMULATED_CARD and SIMULATED_WALLET, with APPROVE or DECLINE outcomes; no account numbers, expiry dates or actual funds. The original real method enumeration and minimal expiry checks are superseded because simulated identifiers eliminate credential collection. UI labels payment and notification simulation plainly. Trace: ORD02–ORD07, PAY01, INV01.</w:t>
      </w:r>
    </w:p>
    <w:p>
      <w:pPr>
        <w:pStyle w:val="Heading1"/>
      </w:pPr>
      <w:r>
        <w:t>D8 Transaction boundaries and state invariants</w:t>
      </w:r>
    </w:p>
    <w:tbl>
      <w:tblPr>
        <w:tblW w:type="auto" w:w="0"/>
        <w:tblLayout w:type="fixed"/>
        <w:tblLook w:firstColumn="1" w:firstRow="1" w:lastColumn="0" w:lastRow="0" w:noHBand="0" w:noVBand="1" w:val="04A0"/>
      </w:tblPr>
      <w:tblGrid>
        <w:gridCol w:w="4968"/>
        <w:gridCol w:w="4968"/>
      </w:tblGrid>
      <w:tr>
        <w:trPr>
          <w:tblHeader/>
        </w:trPr>
        <w:tc>
          <w:tcPr>
            <w:tcW w:type="dxa" w:w="2016"/>
            <w:tcBorders>
              <w:top w:val="single" w:sz="4" w:color="D9D9D9"/>
              <w:left w:val="single" w:sz="4" w:color="D9D9D9"/>
              <w:bottom w:val="single" w:sz="4" w:color="D9D9D9"/>
              <w:right w:val="single" w:sz="4" w:color="D9D9D9"/>
            </w:tcBorders>
            <w:shd w:fill="E7EDF2"/>
          </w:tcPr>
          <w:p>
            <w:pPr>
              <w:spacing w:after="100" w:before="100"/>
            </w:pPr>
            <w:r>
              <w:rPr>
                <w:b/>
                <w:sz w:val="20"/>
              </w:rPr>
              <w:t>Operation</w:t>
            </w:r>
          </w:p>
        </w:tc>
        <w:tc>
          <w:tcPr>
            <w:tcW w:type="dxa" w:w="7776"/>
            <w:tcBorders>
              <w:top w:val="single" w:sz="4" w:color="D9D9D9"/>
              <w:left w:val="single" w:sz="4" w:color="D9D9D9"/>
              <w:bottom w:val="single" w:sz="4" w:color="D9D9D9"/>
              <w:right w:val="single" w:sz="4" w:color="D9D9D9"/>
            </w:tcBorders>
            <w:shd w:fill="E7EDF2"/>
          </w:tcPr>
          <w:p>
            <w:pPr>
              <w:spacing w:after="100" w:before="100"/>
            </w:pPr>
            <w:r>
              <w:rPr>
                <w:b/>
                <w:sz w:val="20"/>
              </w:rPr>
              <w:t>Atomic scope and invariant</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Registration and profile</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20"/>
              </w:rPr>
              <w:t>Account number uses DB sequence; unique email conflict handled. Profile, contacts, addresses and business audit commit together.</w:t>
            </w:r>
          </w:p>
        </w:tc>
      </w:tr>
      <w:tr>
        <w:tc>
          <w:tcPr>
            <w:tcW w:type="dxa" w:w="2016"/>
            <w:tcBorders>
              <w:top w:val="single" w:sz="4" w:color="D9D9D9"/>
              <w:left w:val="single" w:sz="4" w:color="D9D9D9"/>
              <w:bottom w:val="single" w:sz="4" w:color="D9D9D9"/>
              <w:right w:val="single" w:sz="4" w:color="D9D9D9"/>
            </w:tcBorders>
            <w:shd w:fill="F6F7F8"/>
          </w:tcPr>
          <w:p>
            <w:pPr>
              <w:spacing w:after="100" w:before="100"/>
            </w:pPr>
            <w:r>
              <w:rPr>
                <w:b w:val="0"/>
                <w:sz w:val="20"/>
              </w:rPr>
              <w:t>Refresh and reset</w:t>
            </w:r>
          </w:p>
        </w:tc>
        <w:tc>
          <w:tcPr>
            <w:tcW w:type="dxa" w:w="7776"/>
            <w:tcBorders>
              <w:top w:val="single" w:sz="4" w:color="D9D9D9"/>
              <w:left w:val="single" w:sz="4" w:color="D9D9D9"/>
              <w:bottom w:val="single" w:sz="4" w:color="D9D9D9"/>
              <w:right w:val="single" w:sz="4" w:color="D9D9D9"/>
            </w:tcBorders>
            <w:shd w:fill="F6F7F8"/>
          </w:tcPr>
          <w:p>
            <w:pPr>
              <w:spacing w:after="100" w:before="100"/>
            </w:pPr>
            <w:r>
              <w:rPr>
                <w:b w:val="0"/>
                <w:sz w:val="20"/>
              </w:rPr>
              <w:t>Lock session/token or reset row; token consume/replacement and revocation atomic. Security failure events must survive controlled denial.</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Checkout</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20"/>
              </w:rPr>
              <w:t>Order, lines, payment, stock, movements, cart clear, idempotency, business audit and outbox in one DB transaction.</w:t>
            </w:r>
          </w:p>
        </w:tc>
      </w:tr>
      <w:tr>
        <w:tc>
          <w:tcPr>
            <w:tcW w:type="dxa" w:w="2016"/>
            <w:tcBorders>
              <w:top w:val="single" w:sz="4" w:color="D9D9D9"/>
              <w:left w:val="single" w:sz="4" w:color="D9D9D9"/>
              <w:bottom w:val="single" w:sz="4" w:color="D9D9D9"/>
              <w:right w:val="single" w:sz="4" w:color="D9D9D9"/>
            </w:tcBorders>
            <w:shd w:fill="F6F7F8"/>
          </w:tcPr>
          <w:p>
            <w:pPr>
              <w:spacing w:after="100" w:before="100"/>
            </w:pPr>
            <w:r>
              <w:rPr>
                <w:b w:val="0"/>
                <w:sz w:val="20"/>
              </w:rPr>
              <w:t>Fulfillment</w:t>
            </w:r>
          </w:p>
        </w:tc>
        <w:tc>
          <w:tcPr>
            <w:tcW w:type="dxa" w:w="7776"/>
            <w:tcBorders>
              <w:top w:val="single" w:sz="4" w:color="D9D9D9"/>
              <w:left w:val="single" w:sz="4" w:color="D9D9D9"/>
              <w:bottom w:val="single" w:sz="4" w:color="D9D9D9"/>
              <w:right w:val="single" w:sz="4" w:color="D9D9D9"/>
            </w:tcBorders>
            <w:shd w:fill="F6F7F8"/>
          </w:tcPr>
          <w:p>
            <w:pPr>
              <w:spacing w:after="100" w:before="100"/>
            </w:pPr>
            <w:r>
              <w:rPr>
                <w:b w:val="0"/>
                <w:sz w:val="20"/>
              </w:rPr>
              <w:t>Expected order version protects legal CONFIRMED → PROCESSING → SHIPPED transition; audit commits together.</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Inventory receipt</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20"/>
              </w:rPr>
              <w:t>Receipt reference unique; locked balance update, request close, movement and audit commit once.</w:t>
            </w:r>
          </w:p>
        </w:tc>
      </w:tr>
      <w:tr>
        <w:tc>
          <w:tcPr>
            <w:tcW w:type="dxa" w:w="2016"/>
            <w:tcBorders>
              <w:top w:val="single" w:sz="4" w:color="D9D9D9"/>
              <w:left w:val="single" w:sz="4" w:color="D9D9D9"/>
              <w:bottom w:val="single" w:sz="4" w:color="D9D9D9"/>
              <w:right w:val="single" w:sz="4" w:color="D9D9D9"/>
            </w:tcBorders>
            <w:shd w:fill="F6F7F8"/>
          </w:tcPr>
          <w:p>
            <w:pPr>
              <w:spacing w:after="100" w:before="100"/>
            </w:pPr>
            <w:r>
              <w:rPr>
                <w:b w:val="0"/>
                <w:sz w:val="20"/>
              </w:rPr>
              <w:t>Outbox delivery</w:t>
            </w:r>
          </w:p>
        </w:tc>
        <w:tc>
          <w:tcPr>
            <w:tcW w:type="dxa" w:w="7776"/>
            <w:tcBorders>
              <w:top w:val="single" w:sz="4" w:color="D9D9D9"/>
              <w:left w:val="single" w:sz="4" w:color="D9D9D9"/>
              <w:bottom w:val="single" w:sz="4" w:color="D9D9D9"/>
              <w:right w:val="single" w:sz="4" w:color="D9D9D9"/>
            </w:tcBorders>
            <w:shd w:fill="F6F7F8"/>
          </w:tcPr>
          <w:p>
            <w:pPr>
              <w:spacing w:after="100" w:before="100"/>
            </w:pPr>
            <w:r>
              <w:rPr>
                <w:b w:val="0"/>
                <w:sz w:val="20"/>
              </w:rPr>
              <w:t>Short claim transaction; external call outside DB transaction; fenced claim/lease prevents competing completion updates.</w:t>
            </w:r>
          </w:p>
        </w:tc>
      </w:tr>
    </w:tbl>
    <w:p/>
    <w:p>
      <w:r>
        <w:t>Use READ COMMITTED with explicit row locking for checkout rather than global SERIALIZABLE isolation. Lock deterministic IDs to reduce deadlocks; bound lock wait and retry the whole transaction at most twice for transient deadlocks. Cart and administrative edits use optimistic versions. Do not hold a database transaction across remote payment calls. When a real provider is added, replace the local atomic assumption with durable reservations, payment intent, webhooks and reconciliation; this is an architectural change, not an adapter swap alone.</w:t>
      </w:r>
    </w:p>
    <w:p>
      <w:r>
        <w:t>Order terminal states in v1 are PAYMENT_FAILED and SHIPPED; confirmed pre submission cancellation affects only cart. Post confirmation cancellation/refund is deferred. A stock reservation subsystem is unnecessary for the local synchronous simulator; do not imply that a cart guarantees availability. Trace: ORD04, ORD05, ORD08, INV01.</w:t>
      </w:r>
    </w:p>
    <w:p>
      <w:pPr>
        <w:pStyle w:val="Heading1"/>
      </w:pPr>
      <w:r>
        <w:t>D9 Persistence and migrations</w:t>
      </w:r>
    </w:p>
    <w:p>
      <w:r>
        <w:t>Flyway versioned SQL owns schema and indexes; Hibernate ddl-auto=validate. Organize migrations into identity, customer, catalog/inventory, ordering/payment and audit/outbox creation, followed by independent data migrations. Apply only immutable committed migration scripts; never edit an already applied version. Demo seeds are a separate profile controlled seed task with deterministic SKUs and synthetic data, never production migrations.</w:t>
      </w:r>
    </w:p>
    <w:p>
      <w:r>
        <w:t>Use a migration credential with schema ownership and a separate runtime role with minimum table privileges. Audit table grants allow INSERT and selected reads, no UPDATE or DELETE; authorized maintenance uses a separately controlled role. Business audit records sanitize changed fields and avoid duplicating full address or credentials. Export and backup controls protect the database; append only application permissions do not make records immune to database administrators.</w:t>
      </w:r>
    </w:p>
    <w:p>
      <w:r>
        <w:t>Apply migrations as a release job before application readiness and use a singleton migrator in Compose. Expand and contract changes preserve compatibility with the prior image; delayed column removal follows rollout confirmation. Back up before destructive migrations and rehearse restoration. Page customer orders, avoid N+1 queries with explicit fetch plans and do not use Open Session in View. Trace: TECH02, AUD01, NFR02, NFR03.</w:t>
      </w:r>
    </w:p>
    <w:p>
      <w:pPr>
        <w:pStyle w:val="Heading1"/>
      </w:pPr>
      <w:r>
        <w:t>D10 Container topology and developer setup</w:t>
      </w:r>
    </w:p>
    <w:tbl>
      <w:tblPr>
        <w:tblW w:type="auto" w:w="0"/>
        <w:tblLayout w:type="fixed"/>
        <w:tblLook w:firstColumn="1" w:firstRow="1" w:lastColumn="0" w:lastRow="0" w:noHBand="0" w:noVBand="1" w:val="04A0"/>
      </w:tblPr>
      <w:tblGrid>
        <w:gridCol w:w="4968"/>
        <w:gridCol w:w="4968"/>
      </w:tblGrid>
      <w:tr>
        <w:trPr>
          <w:tblHeader/>
        </w:trPr>
        <w:tc>
          <w:tcPr>
            <w:tcW w:type="dxa" w:w="1728"/>
            <w:tcBorders>
              <w:top w:val="single" w:sz="4" w:color="D9D9D9"/>
              <w:left w:val="single" w:sz="4" w:color="D9D9D9"/>
              <w:bottom w:val="single" w:sz="4" w:color="D9D9D9"/>
              <w:right w:val="single" w:sz="4" w:color="D9D9D9"/>
            </w:tcBorders>
            <w:shd w:fill="E7EDF2"/>
          </w:tcPr>
          <w:p>
            <w:pPr>
              <w:spacing w:after="100" w:before="100"/>
            </w:pPr>
            <w:r>
              <w:rPr>
                <w:b/>
                <w:sz w:val="20"/>
              </w:rPr>
              <w:t>Service</w:t>
            </w:r>
          </w:p>
        </w:tc>
        <w:tc>
          <w:tcPr>
            <w:tcW w:type="dxa" w:w="8064"/>
            <w:tcBorders>
              <w:top w:val="single" w:sz="4" w:color="D9D9D9"/>
              <w:left w:val="single" w:sz="4" w:color="D9D9D9"/>
              <w:bottom w:val="single" w:sz="4" w:color="D9D9D9"/>
              <w:right w:val="single" w:sz="4" w:color="D9D9D9"/>
            </w:tcBorders>
            <w:shd w:fill="E7EDF2"/>
          </w:tcPr>
          <w:p>
            <w:pPr>
              <w:spacing w:after="100" w:before="100"/>
            </w:pPr>
            <w:r>
              <w:rPr>
                <w:b/>
                <w:sz w:val="20"/>
              </w:rPr>
              <w:t>Network and lifecycle</w:t>
            </w:r>
          </w:p>
        </w:tc>
      </w:tr>
      <w:t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web</w:t>
            </w:r>
          </w:p>
        </w:tc>
        <w:tc>
          <w:tcPr>
            <w:tcW w:type="dxa" w:w="8064"/>
            <w:tcBorders>
              <w:top w:val="single" w:sz="4" w:color="D9D9D9"/>
              <w:left w:val="single" w:sz="4" w:color="D9D9D9"/>
              <w:bottom w:val="single" w:sz="4" w:color="D9D9D9"/>
              <w:right w:val="single" w:sz="4" w:color="D9D9D9"/>
            </w:tcBorders>
            <w:shd w:fill="FFFFFF"/>
          </w:tcPr>
          <w:p>
            <w:pPr>
              <w:spacing w:after="100" w:before="100"/>
            </w:pPr>
            <w:r>
              <w:rPr>
                <w:b w:val="0"/>
                <w:sz w:val="20"/>
              </w:rPr>
              <w:t>React production bundle and proxy, host port 8080 to container 80; deployed TLS terminates at approved edge. Routes /api to backend; SPA fallback excludes API paths.</w:t>
            </w:r>
          </w:p>
        </w:tc>
      </w:tr>
      <w:tr>
        <w:tc>
          <w:tcPr>
            <w:tcW w:type="dxa" w:w="1728"/>
            <w:tcBorders>
              <w:top w:val="single" w:sz="4" w:color="D9D9D9"/>
              <w:left w:val="single" w:sz="4" w:color="D9D9D9"/>
              <w:bottom w:val="single" w:sz="4" w:color="D9D9D9"/>
              <w:right w:val="single" w:sz="4" w:color="D9D9D9"/>
            </w:tcBorders>
            <w:shd w:fill="F6F7F8"/>
          </w:tcPr>
          <w:p>
            <w:pPr>
              <w:spacing w:after="100" w:before="100"/>
            </w:pPr>
            <w:r>
              <w:rPr>
                <w:b w:val="0"/>
                <w:sz w:val="20"/>
              </w:rPr>
              <w:t>api</w:t>
            </w:r>
          </w:p>
        </w:tc>
        <w:tc>
          <w:tcPr>
            <w:tcW w:type="dxa" w:w="8064"/>
            <w:tcBorders>
              <w:top w:val="single" w:sz="4" w:color="D9D9D9"/>
              <w:left w:val="single" w:sz="4" w:color="D9D9D9"/>
              <w:bottom w:val="single" w:sz="4" w:color="D9D9D9"/>
              <w:right w:val="single" w:sz="4" w:color="D9D9D9"/>
            </w:tcBorders>
            <w:shd w:fill="F6F7F8"/>
          </w:tcPr>
          <w:p>
            <w:pPr>
              <w:spacing w:after="100" w:before="100"/>
            </w:pPr>
            <w:r>
              <w:rPr>
                <w:b w:val="0"/>
                <w:sz w:val="20"/>
              </w:rPr>
              <w:t>Spring Boot container internal 8080; private application network; nonroot process, health checks and bounded memory.</w:t>
            </w:r>
          </w:p>
        </w:tc>
      </w:tr>
      <w:t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db</w:t>
            </w:r>
          </w:p>
        </w:tc>
        <w:tc>
          <w:tcPr>
            <w:tcW w:type="dxa" w:w="8064"/>
            <w:tcBorders>
              <w:top w:val="single" w:sz="4" w:color="D9D9D9"/>
              <w:left w:val="single" w:sz="4" w:color="D9D9D9"/>
              <w:bottom w:val="single" w:sz="4" w:color="D9D9D9"/>
              <w:right w:val="single" w:sz="4" w:color="D9D9D9"/>
            </w:tcBorders>
            <w:shd w:fill="FFFFFF"/>
          </w:tcPr>
          <w:p>
            <w:pPr>
              <w:spacing w:after="100" w:before="100"/>
            </w:pPr>
            <w:r>
              <w:rPr>
                <w:b w:val="0"/>
                <w:sz w:val="20"/>
              </w:rPr>
              <w:t>PostgreSQL internal 5432 and named volume; no host exposure in normal distribution. Local debug override may bind 127.0.0.1 only.</w:t>
            </w:r>
          </w:p>
        </w:tc>
      </w:tr>
      <w:tr>
        <w:tc>
          <w:tcPr>
            <w:tcW w:type="dxa" w:w="1728"/>
            <w:tcBorders>
              <w:top w:val="single" w:sz="4" w:color="D9D9D9"/>
              <w:left w:val="single" w:sz="4" w:color="D9D9D9"/>
              <w:bottom w:val="single" w:sz="4" w:color="D9D9D9"/>
              <w:right w:val="single" w:sz="4" w:color="D9D9D9"/>
            </w:tcBorders>
            <w:shd w:fill="F6F7F8"/>
          </w:tcPr>
          <w:p>
            <w:pPr>
              <w:spacing w:after="100" w:before="100"/>
            </w:pPr>
            <w:r>
              <w:rPr>
                <w:b w:val="0"/>
                <w:sz w:val="20"/>
              </w:rPr>
              <w:t>migrate</w:t>
            </w:r>
          </w:p>
        </w:tc>
        <w:tc>
          <w:tcPr>
            <w:tcW w:type="dxa" w:w="8064"/>
            <w:tcBorders>
              <w:top w:val="single" w:sz="4" w:color="D9D9D9"/>
              <w:left w:val="single" w:sz="4" w:color="D9D9D9"/>
              <w:bottom w:val="single" w:sz="4" w:color="D9D9D9"/>
              <w:right w:val="single" w:sz="4" w:color="D9D9D9"/>
            </w:tcBorders>
            <w:shd w:fill="F6F7F8"/>
          </w:tcPr>
          <w:p>
            <w:pPr>
              <w:spacing w:after="100" w:before="100"/>
            </w:pPr>
            <w:r>
              <w:rPr>
                <w:b w:val="0"/>
                <w:sz w:val="20"/>
              </w:rPr>
              <w:t>One shot Flyway migration job waits for healthy DB; API waits for successful migration.</w:t>
            </w:r>
          </w:p>
        </w:tc>
      </w:tr>
      <w:t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mail sink</w:t>
            </w:r>
          </w:p>
        </w:tc>
        <w:tc>
          <w:tcPr>
            <w:tcW w:type="dxa" w:w="8064"/>
            <w:tcBorders>
              <w:top w:val="single" w:sz="4" w:color="D9D9D9"/>
              <w:left w:val="single" w:sz="4" w:color="D9D9D9"/>
              <w:bottom w:val="single" w:sz="4" w:color="D9D9D9"/>
              <w:right w:val="single" w:sz="4" w:color="D9D9D9"/>
            </w:tcBorders>
            <w:shd w:fill="FFFFFF"/>
          </w:tcPr>
          <w:p>
            <w:pPr>
              <w:spacing w:after="100" w:before="100"/>
            </w:pPr>
            <w:r>
              <w:rPr>
                <w:b w:val="0"/>
                <w:sz w:val="20"/>
              </w:rPr>
              <w:t>Optional local/demo service only; captures recovery links and simulated confirmation, never external mail.</w:t>
            </w:r>
          </w:p>
        </w:tc>
      </w:tr>
    </w:tbl>
    <w:p/>
    <w:p>
      <w:r>
        <w:t>Compose is the reproducible demo distribution, not a high availability production platform. Start order is DB healthy, migrator success, API ready, then web ready; applications also retry transient startup dependency failures. Container health reflects process and dependency readiness, not ordering directives alone. Database volume persists when containers are recreated; documented teardown distinguishes retaining versus deleting data.</w:t>
      </w:r>
    </w:p>
    <w:p>
      <w:r>
        <w:t>Use VS Code at exactly C:\Users\ronnn\Documents\Development\Java Dev\NP Computers. Repository folders: backend with pom.xml, mvnw.cmd and src/main/java/com/npcomputers modules; frontend with package.json, lockfile and src/features; infra with compose.yaml and proxy config; docs with contracts, decisions and runbooks. Pin a supported Java LTS and compatible stable Spring Boot, Node LTS and PostgreSQL major version at implementation kickoff; commit the exact tested version matrix and image digests.</w:t>
      </w:r>
    </w:p>
    <w:p>
      <w:r>
        <w:t>Prerequisites are Git, VS Code with Java and React tooling, selected JDK, Node package runtime and Docker with Compose. Open the named directory in VS Code; copy .env.example to a local ignored .env and generate signing keys using the documented setup task. Full stack command: docker compose -f infra/compose.yaml up --build. Native development: start DB and migrator through Compose, run backend\mvnw.cmd spring-boot:run with local profile, then run npm ci and npm run dev in frontend. Dev server proxies /api to local backend. Use npm ci and Maven wrapper to reproduce dependencies. Verify health, demo registration, catalog and approved/declined checkout; stop containers without deleting the volume. Trace: TECH03, DEV01.</w:t>
      </w:r>
    </w:p>
    <w:p>
      <w:pPr>
        <w:pStyle w:val="Heading1"/>
      </w:pPr>
      <w:r>
        <w:t>D11 Configuration and secrets</w:t>
      </w:r>
    </w:p>
    <w:p>
      <w:r>
        <w:t>Typed validated configuration includes issuer, audience, access duration, refresh idle/absolute bounds, signing key locations, JDBC connection, proxy trust, rate limits, allowed origins, shipping/tax demo policy and outbox retry settings. Base configuration contains safe nonsecret defaults. local uses loopback endpoints and a developer mail sink; test uses isolated dependencies; demo enables deterministic seeds and simulator; production fails startup for absent keys, unsafe cookies or default credentials. All v1 environments use the simulator and make that visible; production profile does not turn on real payments.</w:t>
      </w:r>
    </w:p>
    <w:p>
      <w:r>
        <w:t>Keep .env, private keys and credentials out of Git, images, OpenAPI and logs. Commit .env.example with placeholders only; mount local secrets through ignored files and deployment secrets through managed secret storage or secret mounts. Frontend runtime configuration is public and must contain no secrets. Rotate DB credentials and keys without rebuilding images. Document proxy forwarding allowlist so external callers cannot forge client IP or secure scheme. Trace: OPS01, SEC04.</w:t>
      </w:r>
    </w:p>
    <w:p>
      <w:pPr>
        <w:pStyle w:val="Heading1"/>
      </w:pPr>
      <w:r>
        <w:t>D12 Errors observability and operations</w:t>
      </w:r>
    </w:p>
    <w:p>
      <w:r>
        <w:t>Return application/problem+json with stable type URI, title, status, safe detail, instance, application code, correlationId and field errors. Use 400 for invalid input, 401 for invalid authentication, 403 for forbidden capabilities, 404 for inaccessible customer objects, 409 for stock/quote/version/idempotency conflict, 429 for throttling and 503 for unavailable dependencies. Do not expose stack traces, SQL or credentials. SPA preserves cart and entered shipping after recoverable failures and displays clear next steps; approval response uncertainty is resolved by replaying the same key.</w:t>
      </w:r>
    </w:p>
    <w:p>
      <w:r>
        <w:t>Emit structured JSON logs with timestamp, level, service, environment, trace/correlation ID, operation and safe error code. Generate or validate bounded incoming correlation IDs and carry them into outbox events. Record request latency/error rates, DB pool utilization, stock conflict count, checkout approvals/declines, refresh reuse, outbox backlog/age and readiness. Payment declines are business metrics rather than server failures. Protect actuator details and metrics with internal network and authentication; publish only minimal health status.</w:t>
      </w:r>
    </w:p>
    <w:p>
      <w:r>
        <w:t>Liveness checks process health and must not depend on DB; readiness includes DB and required migration state. Monitor oldest outbox event and alert on repeated dispatch failures. Runbooks cover DB outage, token key rotation, backup restore, stock reconciliation and stuck dispatches. Proposed availability and recovery targets require an owner, measured restore evidence and deployment capacity; they are not established by design prose. Trace: OPS01, AUD01, NFR01, NFR02.</w:t>
      </w:r>
    </w:p>
    <w:p>
      <w:pPr>
        <w:pStyle w:val="Heading1"/>
      </w:pPr>
      <w:r>
        <w:t>D13 Verification strategy</w:t>
      </w:r>
    </w:p>
    <w:tbl>
      <w:tblPr>
        <w:tblW w:type="auto" w:w="0"/>
        <w:tblLayout w:type="fixed"/>
        <w:tblLook w:firstColumn="1" w:firstRow="1" w:lastColumn="0" w:lastRow="0" w:noHBand="0" w:noVBand="1" w:val="04A0"/>
      </w:tblPr>
      <w:tblGrid>
        <w:gridCol w:w="4968"/>
        <w:gridCol w:w="4968"/>
      </w:tblGrid>
      <w:tr>
        <w:trPr>
          <w:tblHeader/>
        </w:trPr>
        <w:tc>
          <w:tcPr>
            <w:tcW w:type="dxa" w:w="2304"/>
            <w:tcBorders>
              <w:top w:val="single" w:sz="4" w:color="D9D9D9"/>
              <w:left w:val="single" w:sz="4" w:color="D9D9D9"/>
              <w:bottom w:val="single" w:sz="4" w:color="D9D9D9"/>
              <w:right w:val="single" w:sz="4" w:color="D9D9D9"/>
            </w:tcBorders>
            <w:shd w:fill="E7EDF2"/>
          </w:tcPr>
          <w:p>
            <w:pPr>
              <w:spacing w:after="100" w:before="100"/>
            </w:pPr>
            <w:r>
              <w:rPr>
                <w:b/>
                <w:sz w:val="20"/>
              </w:rPr>
              <w:t>Test layer</w:t>
            </w:r>
          </w:p>
        </w:tc>
        <w:tc>
          <w:tcPr>
            <w:tcW w:type="dxa" w:w="7488"/>
            <w:tcBorders>
              <w:top w:val="single" w:sz="4" w:color="D9D9D9"/>
              <w:left w:val="single" w:sz="4" w:color="D9D9D9"/>
              <w:bottom w:val="single" w:sz="4" w:color="D9D9D9"/>
              <w:right w:val="single" w:sz="4" w:color="D9D9D9"/>
            </w:tcBorders>
            <w:shd w:fill="E7EDF2"/>
          </w:tcPr>
          <w:p>
            <w:pPr>
              <w:spacing w:after="100" w:before="100"/>
            </w:pPr>
            <w:r>
              <w:rPr>
                <w:b/>
                <w:sz w:val="20"/>
              </w:rPr>
              <w:t>Evidence and requirement references</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JUnit and Mockito</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Money rounding, active product/condition validation, order transitions, simulated outcome and service denial; CAT01, ORD03, ORD05, ORD08, PAY01.</w:t>
            </w:r>
          </w:p>
        </w:tc>
      </w:tr>
      <w:tr>
        <w:tc>
          <w:tcPr>
            <w:tcW w:type="dxa" w:w="2304"/>
            <w:tcBorders>
              <w:top w:val="single" w:sz="4" w:color="D9D9D9"/>
              <w:left w:val="single" w:sz="4" w:color="D9D9D9"/>
              <w:bottom w:val="single" w:sz="4" w:color="D9D9D9"/>
              <w:right w:val="single" w:sz="4" w:color="D9D9D9"/>
            </w:tcBorders>
            <w:shd w:fill="F6F7F8"/>
          </w:tcPr>
          <w:p>
            <w:pPr>
              <w:spacing w:after="100" w:before="100"/>
            </w:pPr>
            <w:r>
              <w:rPr>
                <w:b w:val="0"/>
                <w:sz w:val="20"/>
              </w:rPr>
              <w:t>PostgreSQL integration</w:t>
            </w:r>
          </w:p>
        </w:tc>
        <w:tc>
          <w:tcPr>
            <w:tcW w:type="dxa" w:w="7488"/>
            <w:tcBorders>
              <w:top w:val="single" w:sz="4" w:color="D9D9D9"/>
              <w:left w:val="single" w:sz="4" w:color="D9D9D9"/>
              <w:bottom w:val="single" w:sz="4" w:color="D9D9D9"/>
              <w:right w:val="single" w:sz="4" w:color="D9D9D9"/>
            </w:tcBorders>
            <w:shd w:fill="F6F7F8"/>
          </w:tcPr>
          <w:p>
            <w:pPr>
              <w:spacing w:after="100" w:before="100"/>
            </w:pPr>
            <w:r>
              <w:rPr>
                <w:b w:val="0"/>
                <w:sz w:val="20"/>
              </w:rPr>
              <w:t>Flyway clean/upgrade, row locking, rollback, sequence uniqueness, audit grants, stock CHECK and idempotency; ACC01, ORD04, AUD01, TECH02.</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Security integration</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Invalid signature/issuer/audience, expiry, roles, ownership, CSRF, cookie flags, refresh race/reuse and reset revocation; SEC01–SEC04, ACC03.</w:t>
            </w:r>
          </w:p>
        </w:tc>
      </w:tr>
      <w:tr>
        <w:tc>
          <w:tcPr>
            <w:tcW w:type="dxa" w:w="2304"/>
            <w:tcBorders>
              <w:top w:val="single" w:sz="4" w:color="D9D9D9"/>
              <w:left w:val="single" w:sz="4" w:color="D9D9D9"/>
              <w:bottom w:val="single" w:sz="4" w:color="D9D9D9"/>
              <w:right w:val="single" w:sz="4" w:color="D9D9D9"/>
            </w:tcBorders>
            <w:shd w:fill="F6F7F8"/>
          </w:tcPr>
          <w:p>
            <w:pPr>
              <w:spacing w:after="100" w:before="100"/>
            </w:pPr>
            <w:r>
              <w:rPr>
                <w:b w:val="0"/>
                <w:sz w:val="20"/>
              </w:rPr>
              <w:t>Frontend and journey</w:t>
            </w:r>
          </w:p>
        </w:tc>
        <w:tc>
          <w:tcPr>
            <w:tcW w:type="dxa" w:w="7488"/>
            <w:tcBorders>
              <w:top w:val="single" w:sz="4" w:color="D9D9D9"/>
              <w:left w:val="single" w:sz="4" w:color="D9D9D9"/>
              <w:bottom w:val="single" w:sz="4" w:color="D9D9D9"/>
              <w:right w:val="single" w:sz="4" w:color="D9D9D9"/>
            </w:tcBorders>
            <w:shd w:fill="F6F7F8"/>
          </w:tcPr>
          <w:p>
            <w:pPr>
              <w:spacing w:after="100" w:before="100"/>
            </w:pPr>
            <w:r>
              <w:rPr>
                <w:b w:val="0"/>
                <w:sz w:val="20"/>
              </w:rPr>
              <w:t>Keyboard form validation, profile copy, cart cancellation, quote conflict, approve/decline, confirmation reload and retry after lost response; UX04, ACC05, ORD01–ORD07.</w:t>
            </w:r>
          </w:p>
        </w:tc>
      </w:tr>
      <w:t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Performance and operations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20"/>
              </w:rPr>
              <w:t>Documented load, pool sizing, readiness outage, persistent volume recreation, backup restore and outbox replay; TECH03, OPS01, NFR01–NFR03.</w:t>
            </w:r>
          </w:p>
        </w:tc>
      </w:tr>
    </w:tbl>
    <w:p/>
    <w:p>
      <w:r>
        <w:t>Use real PostgreSQL through disposable test containers or isolated CI services rather than substituting H2 for database semantics. Coordinate concurrency tests with barriers, not sleep assumptions: two orders competing for the final item must yield exactly one confirmation; same idempotency key yields one stock movement; simultaneous refresh triggers the specified family outcome. Use bounded test clocks for expiry and no real personal data. Every test case carries the requirement ID and CI retains reports. Trace: TEST01.</w:t>
      </w:r>
    </w:p>
    <w:p>
      <w:pPr>
        <w:pStyle w:val="Heading1"/>
      </w:pPr>
      <w:r>
        <w:t>D14 CI CD readiness and quality targets</w:t>
      </w:r>
    </w:p>
    <w:p>
      <w:r>
        <w:t>Pull request pipeline installs locked frontend dependencies, checks formatting/types, builds React, runs Maven verification and PostgreSQL integration tests, validates OpenAPI, scans dependencies/secrets and builds nonroot images. Generate an SBOM and tag artifacts by commit; do not deploy mutable latest tags. Promote the same tested images between environments with environment specific secrets.</w:t>
      </w:r>
    </w:p>
    <w:p>
      <w:r>
        <w:t>Deployment gates require migration compatibility review, backups where needed, successful migrate job, readiness, registration and checkout smoke tests, and explicit release approval. Roll back application images only if schema remains compatible; otherwise follow a rehearsed forward fix or restore procedure with documented data loss implications. No automated destructive down migration.</w:t>
      </w:r>
    </w:p>
    <w:p>
      <w:r>
        <w:t>Measure the proposed requirements targets on a specified 4 CPU 8 GB environment with 10000 products and 50 concurrent users, ten minutes after warmup: catalog p95 below 500 ms and checkout p95 below two seconds. Report database volume, data size, indexes, errors and resource saturation. Proposed 99.5 percent monthly availability and 24 hour RPO / four hour RTO need monitored hosting and restore rehearsal. Accessibility checks cover keyboard flows and responsive layouts; formal WCAG conformance is a future audit decision. Trace: NFR01–NFR03, TEST01.</w:t>
      </w:r>
    </w:p>
    <w:p>
      <w:pPr>
        <w:pStyle w:val="Heading1"/>
      </w:pPr>
      <w:r>
        <w:t>D15 Architecture decisions risks and tradeoffs</w:t>
      </w:r>
    </w:p>
    <w:tbl>
      <w:tblPr>
        <w:tblW w:type="auto" w:w="0"/>
        <w:tblLayout w:type="fixed"/>
        <w:tblLook w:firstColumn="1" w:firstRow="1" w:lastColumn="0" w:lastRow="0" w:noHBand="0" w:noVBand="1" w:val="04A0"/>
      </w:tblPr>
      <w:tblGrid>
        <w:gridCol w:w="4968"/>
        <w:gridCol w:w="4968"/>
      </w:tblGrid>
      <w:tr>
        <w:trPr>
          <w:tblHeader/>
        </w:trPr>
        <w:tc>
          <w:tcPr>
            <w:tcW w:type="dxa" w:w="3024"/>
            <w:tcBorders>
              <w:top w:val="single" w:sz="4" w:color="D9D9D9"/>
              <w:left w:val="single" w:sz="4" w:color="D9D9D9"/>
              <w:bottom w:val="single" w:sz="4" w:color="D9D9D9"/>
              <w:right w:val="single" w:sz="4" w:color="D9D9D9"/>
            </w:tcBorders>
            <w:shd w:fill="E7EDF2"/>
          </w:tcPr>
          <w:p>
            <w:pPr>
              <w:spacing w:after="100" w:before="100"/>
            </w:pPr>
            <w:r>
              <w:rPr>
                <w:b/>
                <w:sz w:val="20"/>
              </w:rPr>
              <w:t>Decision</w:t>
            </w:r>
          </w:p>
        </w:tc>
        <w:tc>
          <w:tcPr>
            <w:tcW w:type="dxa" w:w="6768"/>
            <w:tcBorders>
              <w:top w:val="single" w:sz="4" w:color="D9D9D9"/>
              <w:left w:val="single" w:sz="4" w:color="D9D9D9"/>
              <w:bottom w:val="single" w:sz="4" w:color="D9D9D9"/>
              <w:right w:val="single" w:sz="4" w:color="D9D9D9"/>
            </w:tcBorders>
            <w:shd w:fill="E7EDF2"/>
          </w:tcPr>
          <w:p>
            <w:pPr>
              <w:spacing w:after="100" w:before="100"/>
            </w:pPr>
            <w:r>
              <w:rPr>
                <w:b/>
                <w:sz w:val="20"/>
              </w:rPr>
              <w:t>Rationale and consequence</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ADR01 Modular monolith</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Atomic checkout and simpler operation; module discipline requires architecture tests and interface ownership.</w:t>
            </w:r>
          </w:p>
        </w:tc>
      </w:tr>
      <w:tr>
        <w:tc>
          <w:tcPr>
            <w:tcW w:type="dxa" w:w="3024"/>
            <w:tcBorders>
              <w:top w:val="single" w:sz="4" w:color="D9D9D9"/>
              <w:left w:val="single" w:sz="4" w:color="D9D9D9"/>
              <w:bottom w:val="single" w:sz="4" w:color="D9D9D9"/>
              <w:right w:val="single" w:sz="4" w:color="D9D9D9"/>
            </w:tcBorders>
            <w:shd w:fill="F6F7F8"/>
          </w:tcPr>
          <w:p>
            <w:pPr>
              <w:spacing w:after="100" w:before="100"/>
            </w:pPr>
            <w:r>
              <w:rPr>
                <w:b w:val="0"/>
                <w:sz w:val="20"/>
              </w:rPr>
              <w:t>ADR02 PostgreSQL and JPA</w:t>
            </w:r>
          </w:p>
        </w:tc>
        <w:tc>
          <w:tcPr>
            <w:tcW w:type="dxa" w:w="6768"/>
            <w:tcBorders>
              <w:top w:val="single" w:sz="4" w:color="D9D9D9"/>
              <w:left w:val="single" w:sz="4" w:color="D9D9D9"/>
              <w:bottom w:val="single" w:sz="4" w:color="D9D9D9"/>
              <w:right w:val="single" w:sz="4" w:color="D9D9D9"/>
            </w:tcBorders>
            <w:shd w:fill="F6F7F8"/>
          </w:tcPr>
          <w:p>
            <w:pPr>
              <w:spacing w:after="100" w:before="100"/>
            </w:pPr>
            <w:r>
              <w:rPr>
                <w:b w:val="0"/>
                <w:sz w:val="20"/>
              </w:rPr>
              <w:t>Strong relational constraints and locking; query plans and N+1 behavior need review.</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ADR03 Stateful revocation with JWT</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Immediate revocation and role consistency; database availability affects protected API requests.</w:t>
            </w:r>
          </w:p>
        </w:tc>
      </w:tr>
      <w:tr>
        <w:tc>
          <w:tcPr>
            <w:tcW w:type="dxa" w:w="3024"/>
            <w:tcBorders>
              <w:top w:val="single" w:sz="4" w:color="D9D9D9"/>
              <w:left w:val="single" w:sz="4" w:color="D9D9D9"/>
              <w:bottom w:val="single" w:sz="4" w:color="D9D9D9"/>
              <w:right w:val="single" w:sz="4" w:color="D9D9D9"/>
            </w:tcBorders>
            <w:shd w:fill="F6F7F8"/>
          </w:tcPr>
          <w:p>
            <w:pPr>
              <w:spacing w:after="100" w:before="100"/>
            </w:pPr>
            <w:r>
              <w:rPr>
                <w:b w:val="0"/>
                <w:sz w:val="20"/>
              </w:rPr>
              <w:t>ADR04 Strict refresh rotation</w:t>
            </w:r>
          </w:p>
        </w:tc>
        <w:tc>
          <w:tcPr>
            <w:tcW w:type="dxa" w:w="6768"/>
            <w:tcBorders>
              <w:top w:val="single" w:sz="4" w:color="D9D9D9"/>
              <w:left w:val="single" w:sz="4" w:color="D9D9D9"/>
              <w:bottom w:val="single" w:sz="4" w:color="D9D9D9"/>
              <w:right w:val="single" w:sz="4" w:color="D9D9D9"/>
            </w:tcBorders>
            <w:shd w:fill="F6F7F8"/>
          </w:tcPr>
          <w:p>
            <w:pPr>
              <w:spacing w:after="100" w:before="100"/>
            </w:pPr>
            <w:r>
              <w:rPr>
                <w:b w:val="0"/>
                <w:sz w:val="20"/>
              </w:rPr>
              <w:t>Replay detection without grace; cross tab races or lost responses can force login.</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ADR05 Local simulated payment</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No financial credentials and atomic v1 workflow; real provider needs reservations and reconciliation redesign.</w:t>
            </w:r>
          </w:p>
        </w:tc>
      </w:tr>
      <w:tr>
        <w:tc>
          <w:tcPr>
            <w:tcW w:type="dxa" w:w="3024"/>
            <w:tcBorders>
              <w:top w:val="single" w:sz="4" w:color="D9D9D9"/>
              <w:left w:val="single" w:sz="4" w:color="D9D9D9"/>
              <w:bottom w:val="single" w:sz="4" w:color="D9D9D9"/>
              <w:right w:val="single" w:sz="4" w:color="D9D9D9"/>
            </w:tcBorders>
            <w:shd w:fill="F6F7F8"/>
          </w:tcPr>
          <w:p>
            <w:pPr>
              <w:spacing w:after="100" w:before="100"/>
            </w:pPr>
            <w:r>
              <w:rPr>
                <w:b w:val="0"/>
                <w:sz w:val="20"/>
              </w:rPr>
              <w:t>ADR06 Durable outbox</w:t>
            </w:r>
          </w:p>
        </w:tc>
        <w:tc>
          <w:tcPr>
            <w:tcW w:type="dxa" w:w="6768"/>
            <w:tcBorders>
              <w:top w:val="single" w:sz="4" w:color="D9D9D9"/>
              <w:left w:val="single" w:sz="4" w:color="D9D9D9"/>
              <w:bottom w:val="single" w:sz="4" w:color="D9D9D9"/>
              <w:right w:val="single" w:sz="4" w:color="D9D9D9"/>
            </w:tcBorders>
            <w:shd w:fill="F6F7F8"/>
          </w:tcPr>
          <w:p>
            <w:pPr>
              <w:spacing w:after="100" w:before="100"/>
            </w:pPr>
            <w:r>
              <w:rPr>
                <w:b w:val="0"/>
                <w:sz w:val="20"/>
              </w:rPr>
              <w:t>After commit dispatch with retries; at least once means all receivers must deduplicate.</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ADR07 Snapshot orders and USD only</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Historical truth and simple precision; storage duplication and limited international capability.</w:t>
            </w:r>
          </w:p>
        </w:tc>
      </w:tr>
      <w:tr>
        <w:tc>
          <w:tcPr>
            <w:tcW w:type="dxa" w:w="3024"/>
            <w:tcBorders>
              <w:top w:val="single" w:sz="4" w:color="D9D9D9"/>
              <w:left w:val="single" w:sz="4" w:color="D9D9D9"/>
              <w:bottom w:val="single" w:sz="4" w:color="D9D9D9"/>
              <w:right w:val="single" w:sz="4" w:color="D9D9D9"/>
            </w:tcBorders>
            <w:shd w:fill="F6F7F8"/>
          </w:tcPr>
          <w:p>
            <w:pPr>
              <w:spacing w:after="100" w:before="100"/>
            </w:pPr>
            <w:r>
              <w:rPr>
                <w:b w:val="0"/>
                <w:sz w:val="20"/>
              </w:rPr>
              <w:t>ADR08 Docker Compose</w:t>
            </w:r>
          </w:p>
        </w:tc>
        <w:tc>
          <w:tcPr>
            <w:tcW w:type="dxa" w:w="6768"/>
            <w:tcBorders>
              <w:top w:val="single" w:sz="4" w:color="D9D9D9"/>
              <w:left w:val="single" w:sz="4" w:color="D9D9D9"/>
              <w:bottom w:val="single" w:sz="4" w:color="D9D9D9"/>
              <w:right w:val="single" w:sz="4" w:color="D9D9D9"/>
            </w:tcBorders>
            <w:shd w:fill="F6F7F8"/>
          </w:tcPr>
          <w:p>
            <w:pPr>
              <w:spacing w:after="100" w:before="100"/>
            </w:pPr>
            <w:r>
              <w:rPr>
                <w:b w:val="0"/>
                <w:sz w:val="20"/>
              </w:rPr>
              <w:t>Reproducible local distribution; production resilience requires separate deployment design.</w:t>
            </w:r>
          </w:p>
        </w:tc>
      </w:tr>
    </w:tbl>
    <w:p/>
    <w:tbl>
      <w:tblPr>
        <w:tblW w:type="auto" w:w="0"/>
        <w:tblLayout w:type="fixed"/>
        <w:tblLook w:firstColumn="1" w:firstRow="1" w:lastColumn="0" w:lastRow="0" w:noHBand="0" w:noVBand="1" w:val="04A0"/>
      </w:tblPr>
      <w:tblGrid>
        <w:gridCol w:w="4968"/>
        <w:gridCol w:w="4968"/>
      </w:tblGrid>
      <w:tr>
        <w:trPr>
          <w:tblHeader/>
        </w:trPr>
        <w:tc>
          <w:tcPr>
            <w:tcW w:type="dxa" w:w="3456"/>
            <w:tcBorders>
              <w:top w:val="single" w:sz="4" w:color="D9D9D9"/>
              <w:left w:val="single" w:sz="4" w:color="D9D9D9"/>
              <w:bottom w:val="single" w:sz="4" w:color="D9D9D9"/>
              <w:right w:val="single" w:sz="4" w:color="D9D9D9"/>
            </w:tcBorders>
            <w:shd w:fill="E7EDF2"/>
          </w:tcPr>
          <w:p>
            <w:pPr>
              <w:spacing w:after="100" w:before="100"/>
            </w:pPr>
            <w:r>
              <w:rPr>
                <w:b/>
                <w:sz w:val="20"/>
              </w:rPr>
              <w:t>Risk</w:t>
            </w:r>
          </w:p>
        </w:tc>
        <w:tc>
          <w:tcPr>
            <w:tcW w:type="dxa" w:w="6336"/>
            <w:tcBorders>
              <w:top w:val="single" w:sz="4" w:color="D9D9D9"/>
              <w:left w:val="single" w:sz="4" w:color="D9D9D9"/>
              <w:bottom w:val="single" w:sz="4" w:color="D9D9D9"/>
              <w:right w:val="single" w:sz="4" w:color="D9D9D9"/>
            </w:tcBorders>
            <w:shd w:fill="E7EDF2"/>
          </w:tcPr>
          <w:p>
            <w:pPr>
              <w:spacing w:after="100" w:before="100"/>
            </w:pPr>
            <w:r>
              <w:rPr>
                <w:b/>
                <w:sz w:val="20"/>
              </w:rPr>
              <w:t>Mitigation and review owner</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20"/>
              </w:rPr>
              <w:t>Tax shipping and contact assumptions</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Business owner approves rates, geography, contact details and external communications before commercial release.</w:t>
            </w:r>
          </w:p>
        </w:tc>
      </w:tr>
      <w:tr>
        <w:tc>
          <w:tcPr>
            <w:tcW w:type="dxa" w:w="3456"/>
            <w:tcBorders>
              <w:top w:val="single" w:sz="4" w:color="D9D9D9"/>
              <w:left w:val="single" w:sz="4" w:color="D9D9D9"/>
              <w:bottom w:val="single" w:sz="4" w:color="D9D9D9"/>
              <w:right w:val="single" w:sz="4" w:color="D9D9D9"/>
            </w:tcBorders>
            <w:shd w:fill="F6F7F8"/>
          </w:tcPr>
          <w:p>
            <w:pPr>
              <w:spacing w:after="100" w:before="100"/>
            </w:pPr>
            <w:r>
              <w:rPr>
                <w:b w:val="0"/>
                <w:sz w:val="20"/>
              </w:rPr>
              <w:t>Authentication implementation complexity</w:t>
            </w:r>
          </w:p>
        </w:tc>
        <w:tc>
          <w:tcPr>
            <w:tcW w:type="dxa" w:w="6336"/>
            <w:tcBorders>
              <w:top w:val="single" w:sz="4" w:color="D9D9D9"/>
              <w:left w:val="single" w:sz="4" w:color="D9D9D9"/>
              <w:bottom w:val="single" w:sz="4" w:color="D9D9D9"/>
              <w:right w:val="single" w:sz="4" w:color="D9D9D9"/>
            </w:tcBorders>
            <w:shd w:fill="F6F7F8"/>
          </w:tcPr>
          <w:p>
            <w:pPr>
              <w:spacing w:after="100" w:before="100"/>
            </w:pPr>
            <w:r>
              <w:rPr>
                <w:b w:val="0"/>
                <w:sz w:val="20"/>
              </w:rPr>
              <w:t>Security reviewer checks flows, token replay and CSRF tests; consider managed identity before external launch.</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20"/>
              </w:rPr>
              <w:t>Inventory contention or dispatch backlog</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Backend owner measures lock waits, bounds retries and monitors outbox age.</w:t>
            </w:r>
          </w:p>
        </w:tc>
      </w:tr>
      <w:tr>
        <w:tc>
          <w:tcPr>
            <w:tcW w:type="dxa" w:w="3456"/>
            <w:tcBorders>
              <w:top w:val="single" w:sz="4" w:color="D9D9D9"/>
              <w:left w:val="single" w:sz="4" w:color="D9D9D9"/>
              <w:bottom w:val="single" w:sz="4" w:color="D9D9D9"/>
              <w:right w:val="single" w:sz="4" w:color="D9D9D9"/>
            </w:tcBorders>
            <w:shd w:fill="F6F7F8"/>
          </w:tcPr>
          <w:p>
            <w:pPr>
              <w:spacing w:after="100" w:before="100"/>
            </w:pPr>
            <w:r>
              <w:rPr>
                <w:b w:val="0"/>
                <w:sz w:val="20"/>
              </w:rPr>
              <w:t>Data exposure and retention</w:t>
            </w:r>
          </w:p>
        </w:tc>
        <w:tc>
          <w:tcPr>
            <w:tcW w:type="dxa" w:w="6336"/>
            <w:tcBorders>
              <w:top w:val="single" w:sz="4" w:color="D9D9D9"/>
              <w:left w:val="single" w:sz="4" w:color="D9D9D9"/>
              <w:bottom w:val="single" w:sz="4" w:color="D9D9D9"/>
              <w:right w:val="single" w:sz="4" w:color="D9D9D9"/>
            </w:tcBorders>
            <w:shd w:fill="F6F7F8"/>
          </w:tcPr>
          <w:p>
            <w:pPr>
              <w:spacing w:after="100" w:before="100"/>
            </w:pPr>
            <w:r>
              <w:rPr>
                <w:b w:val="0"/>
                <w:sz w:val="20"/>
              </w:rPr>
              <w:t>Operations and business owners approve data access, retention, backups and deletion procedure.</w:t>
            </w:r>
          </w:p>
        </w:tc>
      </w:tr>
      <w:tr>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20"/>
              </w:rPr>
              <w:t>Version compatibility and supply chain</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Engineering pins stable version matrix, scans artifacts and rehearses upgrade migrations.</w:t>
            </w:r>
          </w:p>
        </w:tc>
      </w:tr>
      <w:tr>
        <w:tc>
          <w:tcPr>
            <w:tcW w:type="dxa" w:w="3456"/>
            <w:tcBorders>
              <w:top w:val="single" w:sz="4" w:color="D9D9D9"/>
              <w:left w:val="single" w:sz="4" w:color="D9D9D9"/>
              <w:bottom w:val="single" w:sz="4" w:color="D9D9D9"/>
              <w:right w:val="single" w:sz="4" w:color="D9D9D9"/>
            </w:tcBorders>
            <w:shd w:fill="F6F7F8"/>
          </w:tcPr>
          <w:p>
            <w:pPr>
              <w:spacing w:after="100" w:before="100"/>
            </w:pPr>
            <w:r>
              <w:rPr>
                <w:b w:val="0"/>
                <w:sz w:val="20"/>
              </w:rPr>
              <w:t>Simulator mistaken for real payment</w:t>
            </w:r>
          </w:p>
        </w:tc>
        <w:tc>
          <w:tcPr>
            <w:tcW w:type="dxa" w:w="6336"/>
            <w:tcBorders>
              <w:top w:val="single" w:sz="4" w:color="D9D9D9"/>
              <w:left w:val="single" w:sz="4" w:color="D9D9D9"/>
              <w:bottom w:val="single" w:sz="4" w:color="D9D9D9"/>
              <w:right w:val="single" w:sz="4" w:color="D9D9D9"/>
            </w:tcBorders>
            <w:shd w:fill="F6F7F8"/>
          </w:tcPr>
          <w:p>
            <w:pPr>
              <w:spacing w:after="100" w:before="100"/>
            </w:pPr>
            <w:r>
              <w:rPr>
                <w:b w:val="0"/>
                <w:sz w:val="20"/>
              </w:rPr>
              <w:t>Product owner verifies explicit labels and absence of credential fields; no real settlement claims.</w:t>
            </w:r>
          </w:p>
        </w:tc>
      </w:tr>
    </w:tbl>
    <w:p/>
    <w:p>
      <w:r>
        <w:t>Architect approval checklist: confirm domain ownership; accept immediate session lookup and strict refresh race behavior; verify checkout locking and quote rules; approve local simulator transaction boundary; approve migration rollout strategy and test evidence; assign owners to business assumptions and operational targets. Any change to these decisions updates linked requirement acceptance cases.</w:t>
      </w:r>
    </w:p>
    <w:p>
      <w:pPr>
        <w:pStyle w:val="Heading1"/>
      </w:pPr>
      <w:r>
        <w:t>D16 Future enhancements and design traceability</w:t>
      </w:r>
    </w:p>
    <w:p>
      <w:r>
        <w:t>Deferred features include real gateway integration with payment intents and webhooks, stock reservations and reconciliation, refunds and customer cancellations, real tax/shipping calculators, carrier tracking, real email and verified email registration, managed OIDC identity with MFA for staff, supplier procurement, full text search, product image management and a support ticket module. SUPPORT exists in v1 solely for controlled inquiry related reads. Future microservice extraction requires a demonstrated scaling or organizational need and a distributed consistency design.</w:t>
      </w:r>
    </w:p>
    <w:tbl>
      <w:tblPr>
        <w:tblW w:type="auto" w:w="0"/>
        <w:tblLayout w:type="fixed"/>
        <w:tblLook w:firstColumn="1" w:firstRow="1" w:lastColumn="0" w:lastRow="0" w:noHBand="0" w:noVBand="1" w:val="04A0"/>
      </w:tblPr>
      <w:tblGrid>
        <w:gridCol w:w="4968"/>
        <w:gridCol w:w="4968"/>
      </w:tblGrid>
      <w:tr>
        <w:trPr>
          <w:tblHeader/>
        </w:trPr>
        <w:tc>
          <w:tcPr>
            <w:tcW w:type="dxa" w:w="2880"/>
            <w:tcBorders>
              <w:top w:val="single" w:sz="4" w:color="D9D9D9"/>
              <w:left w:val="single" w:sz="4" w:color="D9D9D9"/>
              <w:bottom w:val="single" w:sz="4" w:color="D9D9D9"/>
              <w:right w:val="single" w:sz="4" w:color="D9D9D9"/>
            </w:tcBorders>
            <w:shd w:fill="E7EDF2"/>
          </w:tcPr>
          <w:p>
            <w:pPr>
              <w:spacing w:after="100" w:before="100"/>
            </w:pPr>
            <w:r>
              <w:rPr>
                <w:b/>
                <w:sz w:val="20"/>
              </w:rPr>
              <w:t>Requirement family</w:t>
            </w:r>
          </w:p>
        </w:tc>
        <w:tc>
          <w:tcPr>
            <w:tcW w:type="dxa" w:w="6912"/>
            <w:tcBorders>
              <w:top w:val="single" w:sz="4" w:color="D9D9D9"/>
              <w:left w:val="single" w:sz="4" w:color="D9D9D9"/>
              <w:bottom w:val="single" w:sz="4" w:color="D9D9D9"/>
              <w:right w:val="single" w:sz="4" w:color="D9D9D9"/>
            </w:tcBorders>
            <w:shd w:fill="E7EDF2"/>
          </w:tcPr>
          <w:p>
            <w:pPr>
              <w:spacing w:after="100" w:before="100"/>
            </w:pPr>
            <w:r>
              <w:rPr>
                <w:b/>
                <w:sz w:val="20"/>
              </w:rPr>
              <w:t>Primary design sections</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BUS UX</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D1 D2 D5 D13</w:t>
            </w:r>
          </w:p>
        </w:tc>
      </w:tr>
      <w:tr>
        <w:tc>
          <w:tcPr>
            <w:tcW w:type="dxa" w:w="2880"/>
            <w:tcBorders>
              <w:top w:val="single" w:sz="4" w:color="D9D9D9"/>
              <w:left w:val="single" w:sz="4" w:color="D9D9D9"/>
              <w:bottom w:val="single" w:sz="4" w:color="D9D9D9"/>
              <w:right w:val="single" w:sz="4" w:color="D9D9D9"/>
            </w:tcBorders>
            <w:shd w:fill="F6F7F8"/>
          </w:tcPr>
          <w:p>
            <w:pPr>
              <w:spacing w:after="100" w:before="100"/>
            </w:pPr>
            <w:r>
              <w:rPr>
                <w:b w:val="0"/>
                <w:sz w:val="20"/>
              </w:rPr>
              <w:t>ACC SEC</w:t>
            </w:r>
          </w:p>
        </w:tc>
        <w:tc>
          <w:tcPr>
            <w:tcW w:type="dxa" w:w="6912"/>
            <w:tcBorders>
              <w:top w:val="single" w:sz="4" w:color="D9D9D9"/>
              <w:left w:val="single" w:sz="4" w:color="D9D9D9"/>
              <w:bottom w:val="single" w:sz="4" w:color="D9D9D9"/>
              <w:right w:val="single" w:sz="4" w:color="D9D9D9"/>
            </w:tcBorders>
            <w:shd w:fill="F6F7F8"/>
          </w:tcPr>
          <w:p>
            <w:pPr>
              <w:spacing w:after="100" w:before="100"/>
            </w:pPr>
            <w:r>
              <w:rPr>
                <w:b w:val="0"/>
                <w:sz w:val="20"/>
              </w:rPr>
              <w:t>D3 D4 D5 D6 D13</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CAT</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D2 D3 D4 D7 D9</w:t>
            </w:r>
          </w:p>
        </w:tc>
      </w:tr>
      <w:tr>
        <w:tc>
          <w:tcPr>
            <w:tcW w:type="dxa" w:w="2880"/>
            <w:tcBorders>
              <w:top w:val="single" w:sz="4" w:color="D9D9D9"/>
              <w:left w:val="single" w:sz="4" w:color="D9D9D9"/>
              <w:bottom w:val="single" w:sz="4" w:color="D9D9D9"/>
              <w:right w:val="single" w:sz="4" w:color="D9D9D9"/>
            </w:tcBorders>
            <w:shd w:fill="F6F7F8"/>
          </w:tcPr>
          <w:p>
            <w:pPr>
              <w:spacing w:after="100" w:before="100"/>
            </w:pPr>
            <w:r>
              <w:rPr>
                <w:b w:val="0"/>
                <w:sz w:val="20"/>
              </w:rPr>
              <w:t>ORD PAY INV</w:t>
            </w:r>
          </w:p>
        </w:tc>
        <w:tc>
          <w:tcPr>
            <w:tcW w:type="dxa" w:w="6912"/>
            <w:tcBorders>
              <w:top w:val="single" w:sz="4" w:color="D9D9D9"/>
              <w:left w:val="single" w:sz="4" w:color="D9D9D9"/>
              <w:bottom w:val="single" w:sz="4" w:color="D9D9D9"/>
              <w:right w:val="single" w:sz="4" w:color="D9D9D9"/>
            </w:tcBorders>
            <w:shd w:fill="F6F7F8"/>
          </w:tcPr>
          <w:p>
            <w:pPr>
              <w:spacing w:after="100" w:before="100"/>
            </w:pPr>
            <w:r>
              <w:rPr>
                <w:b w:val="0"/>
                <w:sz w:val="20"/>
              </w:rPr>
              <w:t>D3 D4 D7 D8 D12 D13</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TECH DEV</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b w:val="0"/>
                <w:sz w:val="20"/>
              </w:rPr>
              <w:t>D1 D9 D10 D11 D14</w:t>
            </w:r>
          </w:p>
        </w:tc>
      </w:tr>
      <w:tr>
        <w:tc>
          <w:tcPr>
            <w:tcW w:type="dxa" w:w="2880"/>
            <w:tcBorders>
              <w:top w:val="single" w:sz="4" w:color="D9D9D9"/>
              <w:left w:val="single" w:sz="4" w:color="D9D9D9"/>
              <w:bottom w:val="single" w:sz="4" w:color="D9D9D9"/>
              <w:right w:val="single" w:sz="4" w:color="D9D9D9"/>
            </w:tcBorders>
            <w:shd w:fill="F6F7F8"/>
          </w:tcPr>
          <w:p>
            <w:pPr>
              <w:spacing w:after="100" w:before="100"/>
            </w:pPr>
            <w:r>
              <w:rPr>
                <w:b w:val="0"/>
                <w:sz w:val="20"/>
              </w:rPr>
              <w:t>OPS AUD TEST NFR</w:t>
            </w:r>
          </w:p>
        </w:tc>
        <w:tc>
          <w:tcPr>
            <w:tcW w:type="dxa" w:w="6912"/>
            <w:tcBorders>
              <w:top w:val="single" w:sz="4" w:color="D9D9D9"/>
              <w:left w:val="single" w:sz="4" w:color="D9D9D9"/>
              <w:bottom w:val="single" w:sz="4" w:color="D9D9D9"/>
              <w:right w:val="single" w:sz="4" w:color="D9D9D9"/>
            </w:tcBorders>
            <w:shd w:fill="F6F7F8"/>
          </w:tcPr>
          <w:p>
            <w:pPr>
              <w:spacing w:after="100" w:before="100"/>
            </w:pPr>
            <w:r>
              <w:rPr>
                <w:b w:val="0"/>
                <w:sz w:val="20"/>
              </w:rPr>
              <w:t>D8 D9 D11 D12 D13 D14 D15</w:t>
            </w:r>
          </w:p>
        </w:tc>
      </w:tr>
    </w:tbl>
    <w:p/>
    <w:p>
      <w:r>
        <w:t>Normative business source: NPComputers_Requirements.docx, supplied baseline. Normative acceptance source: companion NP Computers Enterprise Application Requirements version 1.0. Technical references for implementation review: Spring Security JWT resource server documentation at https://docs.spring.io/spring-security/reference/servlet/oauth2/resource-server/jwt.html and RFC 9700 section 4.14 at https://www.rfc-editor.org/rfc/rfc9700.html#section-4.14. Review exact dependency versions and deployment controls during implementation kickoff.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NP Computers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 Computers Enterprise Application Design</dc:title>
  <dc:subject/>
  <dc:creator>NP Computers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