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36" w:lineRule="auto"/>
      </w:pPr>
      <w:r>
        <w:rPr>
          <w:rFonts w:ascii="맑은 고딕" w:hAnsi="맑은 고딕" w:eastAsia="맑은 고딕" w:cs="맑은 고딕"/>
          <w:b w:val="0"/>
          <w:i w:val="0"/>
          <w:sz w:val="20"/>
        </w:rPr>
      </w:r>
    </w:p>
    <w:p>
      <w:pPr>
        <w:spacing w:before="0" w:after="1600" w:line="336" w:lineRule="auto"/>
      </w:pPr>
      <w:r>
        <w:rPr>
          <w:rFonts w:ascii="맑은 고딕" w:hAnsi="맑은 고딕" w:eastAsia="맑은 고딕" w:cs="맑은 고딕"/>
          <w:b w:val="0"/>
          <w:i w:val="0"/>
          <w:sz w:val="20"/>
        </w:rPr>
      </w:r>
    </w:p>
    <w:p>
      <w:pPr>
        <w:spacing w:before="240" w:after="240" w:line="336" w:lineRule="auto"/>
        <w:jc w:val="center"/>
      </w:pPr>
      <w:r>
        <w:rPr>
          <w:rFonts w:ascii="맑은 고딕" w:hAnsi="맑은 고딕" w:eastAsia="맑은 고딕" w:cs="맑은 고딕"/>
          <w:b/>
          <w:i w:val="0"/>
          <w:color w:val="1F4E78"/>
          <w:sz w:val="60"/>
        </w:rPr>
        <w:t>과 업 지 시 서</w:t>
      </w:r>
    </w:p>
    <w:p>
      <w:pPr>
        <w:spacing w:before="80" w:after="720" w:line="336" w:lineRule="auto"/>
        <w:jc w:val="center"/>
      </w:pPr>
      <w:r>
        <w:rPr>
          <w:rFonts w:ascii="맑은 고딕" w:hAnsi="맑은 고딕" w:eastAsia="맑은 고딕" w:cs="맑은 고딕"/>
          <w:b w:val="0"/>
          <w:i w:val="0"/>
          <w:color w:val="595959"/>
          <w:sz w:val="28"/>
        </w:rPr>
        <w:t>Statement of Work (SOW)</w:t>
      </w:r>
    </w:p>
    <w:p>
      <w:pPr>
        <w:spacing w:before="80" w:after="160" w:line="336" w:lineRule="auto"/>
        <w:jc w:val="center"/>
      </w:pPr>
      <w:r>
        <w:rPr>
          <w:rFonts w:ascii="맑은 고딕" w:hAnsi="맑은 고딕" w:eastAsia="맑은 고딕" w:cs="맑은 고딕"/>
          <w:b/>
          <w:i w:val="0"/>
          <w:sz w:val="40"/>
        </w:rPr>
        <w:t>Pathwave MVP 개발 용역</w:t>
      </w:r>
    </w:p>
    <w:p>
      <w:pPr>
        <w:spacing w:before="80" w:after="1200" w:line="336" w:lineRule="auto"/>
        <w:jc w:val="center"/>
      </w:pPr>
      <w:r>
        <w:rPr>
          <w:rFonts w:ascii="맑은 고딕" w:hAnsi="맑은 고딕" w:eastAsia="맑은 고딕" w:cs="맑은 고딕"/>
          <w:b w:val="0"/>
          <w:i w:val="0"/>
          <w:color w:val="595959"/>
          <w:sz w:val="24"/>
        </w:rPr>
        <w:t>BLE 기반 WiFi 자동연결 서비스 플랫폼 1단계 구축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 업 명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Pathwave MVP 개발 용역 (1단계)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발 주 처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주식회사 트리거소프트 (Triggersoft Co., Ltd.)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사업 범위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사용자 앱, SP 웹, 관리자 웹, 비콘 펌웨어, 홈페이지 (P1 핵심기능)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계약 형태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도급 계약 (Turnkey)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작성 일자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2026.05.26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문서 버전</w:t>
            </w:r>
          </w:p>
        </w:tc>
        <w:tc>
          <w:tcPr>
            <w:tcW w:type="dxa" w:w="680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v1.0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spacing w:before="1200" w:after="0" w:line="336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</w:r>
    </w:p>
    <w:p>
      <w:pPr>
        <w:spacing w:before="80" w:after="80" w:line="336" w:lineRule="auto"/>
        <w:jc w:val="center"/>
      </w:pPr>
      <w:r>
        <w:rPr>
          <w:rFonts w:ascii="맑은 고딕" w:hAnsi="맑은 고딕" w:eastAsia="맑은 고딕" w:cs="맑은 고딕"/>
          <w:b w:val="0"/>
          <w:i/>
          <w:color w:val="808080"/>
          <w:sz w:val="18"/>
        </w:rPr>
        <w:t>본 문서는 트리거소프트의 자산으로, 사전 서면 동의 없이 외부 유출을 금합니다.</w:t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1. 사업 개요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1.1 사업명</w:t>
      </w:r>
    </w:p>
    <w:p>
      <w:pPr>
        <w:spacing w:before="8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Pathwave MVP 개발 용역 (1단계 - BLE 기반 WiFi 자동연결 핵심 기능 구축)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1.2 발주처 및 수행사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구분</w:t>
            </w:r>
          </w:p>
        </w:tc>
        <w:tc>
          <w:tcPr>
            <w:tcW w:type="dxa" w:w="6520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발주처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주식회사 트리거소프트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수행사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용역 계약을 체결한 외주 개발사 (이하 "수행사")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프로젝트 책임자(발주측)</w:t>
            </w:r>
          </w:p>
        </w:tc>
        <w:tc>
          <w:tcPr>
            <w:tcW w:type="dxa" w:w="652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트리거소프트 대표이사 (이하 "발주측 PM")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프로젝트 책임자(수행측)</w:t>
            </w:r>
          </w:p>
        </w:tc>
        <w:tc>
          <w:tcPr>
            <w:tcW w:type="dxa" w:w="652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수행사 지정 PM (계약 체결 시 확정)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1.3 사업 목적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국내 서비스 시설(매장, 카페, 공공장소 등)에서 고객이 별도 비밀번호 입력 없이 BLE 핸드셰이크 1회로 매장 WiFi에 자동 연결되는 신규 플랫폼 구축.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기존 WiFi 접속 페인포인트 제거 및 매장-고객 간 디지털 접점 형성을 통해 충성도 프로그램(스탬프, 쿠폰), 다국어 채팅 등 부가가치 서비스의 기반 확보.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MVP(P1) 단계에서 핵심 기능을 안정적으로 출시하여 시장 검증 및 2차 확장 기반을 마련함.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1.4 추진 배경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WiFi 접속을 위한 비밀번호 노출 및 입력 절차가 사용자 경험(UX)을 크게 저해함.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매장 운영자는 고객의 첫 디지털 접점을 확보할 수단이 부재하여 마케팅 채널 다각화의 한계가 존재함.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BLE 비콘 기반 핸드셰이크 방식으로 보안성과 UX를 동시에 확보할 수 있음을 사전 기술 검증을 통해 확인함.</w:t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2. 사업 범위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2.1 과업 대상 컴포넌트 (총 5종)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680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No</w:t>
            </w:r>
          </w:p>
        </w:tc>
        <w:tc>
          <w:tcPr>
            <w:tcW w:type="dxa" w:w="2551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컴포넌트</w:t>
            </w:r>
          </w:p>
        </w:tc>
        <w:tc>
          <w:tcPr>
            <w:tcW w:type="dxa" w:w="5839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본 과업 범위 (P1 MVP)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사용자 모바일 앱 (iOS/Android)</w:t>
            </w:r>
          </w:p>
        </w:tc>
        <w:tc>
          <w:tcPr>
            <w:tcW w:type="dxa" w:w="583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BLE 핸드셰이크, WiFi 자동연결, 매장 식별, 기본 회원관리, 스탬프 수령, 쿠폰 수신/사용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서비스 제공자(SP) 반응형 웹 포털</w:t>
            </w:r>
          </w:p>
        </w:tc>
        <w:tc>
          <w:tcPr>
            <w:tcW w:type="dxa" w:w="5839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SP 회원가입/매장 등록, 비콘 페어링, 스탬프/쿠폰 설정, 기본 정산 조회, 결제 등록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관리자 PC 웹 대시보드</w:t>
            </w:r>
          </w:p>
        </w:tc>
        <w:tc>
          <w:tcPr>
            <w:tcW w:type="dxa" w:w="583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SP 승인, 비콘 자산관리, 매출/이용 통계, 정산 처리, 신고/문의 관리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</w:t>
            </w:r>
          </w:p>
        </w:tc>
        <w:tc>
          <w:tcPr>
            <w:tcW w:type="dxa" w:w="255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비콘 하드웨어 및 커스텀 펌웨어</w:t>
            </w:r>
          </w:p>
        </w:tc>
        <w:tc>
          <w:tcPr>
            <w:tcW w:type="dxa" w:w="5839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BLE 5.x 비콘 펌웨어 (UUID 암호화, 신호세기 기반 검증, TTL 처리), OTA 업데이트 구조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회사 홈페이지 업데이트</w:t>
            </w:r>
          </w:p>
        </w:tc>
        <w:tc>
          <w:tcPr>
            <w:tcW w:type="dxa" w:w="5839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Pathwave 서비스 소개 페이지 신설, SP 가입 유도 랜딩, 다운로드 링크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spacing w:before="80" w:after="80" w:line="336" w:lineRule="auto"/>
      </w:pPr>
      <w:r>
        <w:rPr>
          <w:rFonts w:ascii="맑은 고딕" w:hAnsi="맑은 고딕" w:eastAsia="맑은 고딕" w:cs="맑은 고딕"/>
          <w:b w:val="0"/>
          <w:i w:val="0"/>
          <w:color w:val="595959"/>
          <w:sz w:val="19"/>
        </w:rPr>
        <w:t>※ 각 컴포넌트의 상세 기능 명세는 "Pathwave 기능정의서 v1.0"(별첨)에 따른다. 본 문서와 기능정의서가 상충할 경우 본 과업지시서를 우선하며, 미기재 사항은 기능정의서를 따른다.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2.2 P1 MVP 범위 한정 원칙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본 과업은 기능정의서에서 "P1"로 분류된 기능에 한정함.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P2(2차) 및 P3(향후) 기능은 본 과업에서 명시적으로 제외하며, 별도 계약을 통해 추가 발주함.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MVP 핵심 가치 검증을 위한 최소 기능 셋이며, 향후 확장을 고려한 아키텍처 설계는 본 과업의 의무 사항임.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2.3 본 과업의 제외 범위 (Out-of-Scope)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다국어 실시간 채팅 (P2 이관)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고급 분석 대시보드 및 AI 추천 (P3 이관)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타사 POS/CRM/ERP 연동 (별도 발주)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앱스토어/플레이스토어 심사 계정 및 비콘 양산 비용 (발주처 부담)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운영 단계의 서버 인프라 비용 및 운영 인력 (발주처 부담)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개시 후 유지보수 (본 과업의 하자보수 기간 이후는 별도 계약)</w:t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3. 추진 일정 및 체계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3.1 단계별 추진 일정</w:t>
      </w:r>
    </w:p>
    <w:p>
      <w:pPr>
        <w:spacing w:before="8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총 사업 기간은 계약 체결일로부터 [발주처 협의] 개월로 하며, 단계별 표준 일정은 다음과 같다. 수행사는 제안서에 단계별 상세 일정(WBS)을 제출한다.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단계</w:t>
            </w:r>
          </w:p>
        </w:tc>
        <w:tc>
          <w:tcPr>
            <w:tcW w:type="dxa" w:w="1701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구분</w:t>
            </w:r>
          </w:p>
        </w:tc>
        <w:tc>
          <w:tcPr>
            <w:tcW w:type="dxa" w:w="1587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표준 기간</w:t>
            </w:r>
          </w:p>
        </w:tc>
        <w:tc>
          <w:tcPr>
            <w:tcW w:type="dxa" w:w="5102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주요 활동 및 산출물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분석/설계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협의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요구사항 확정, 화면 정의서, UI/UX 설계, DB/API 설계, 비콘 프로토콜 설계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디자인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협의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UI 디자인 시안 확정, 디자인 시스템 구축, 디자인 원본 (Figma) 납품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개발 (1차)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협의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사용자 앱, SP 웹, 관리자 웹, 비콘 펌웨어 1차 개발 완료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4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통합 테스트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협의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5개 컴포넌트 통합 테스트, BLE 핸드셰이크 실증 시험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5</w:t>
            </w:r>
          </w:p>
        </w:tc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안정화/검수</w:t>
            </w:r>
          </w:p>
        </w:tc>
        <w:tc>
          <w:tcPr>
            <w:tcW w:type="dxa" w:w="158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협의</w:t>
            </w:r>
          </w:p>
        </w:tc>
        <w:tc>
          <w:tcPr>
            <w:tcW w:type="dxa" w:w="51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버그 수정, 발주처 인수테스트(UAT), 운영 환경 배포</w:t>
            </w:r>
          </w:p>
        </w:tc>
      </w:tr>
      <w:tr>
        <w:tc>
          <w:tcPr>
            <w:tcW w:type="dxa" w:w="680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6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오픈 후 하자보수</w:t>
            </w:r>
          </w:p>
        </w:tc>
        <w:tc>
          <w:tcPr>
            <w:tcW w:type="dxa" w:w="1587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12개월</w:t>
            </w:r>
          </w:p>
        </w:tc>
        <w:tc>
          <w:tcPr>
            <w:tcW w:type="dxa" w:w="5102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안정화 지원, 결함 수정 (별도 9장 참조)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spacing w:before="80" w:after="80" w:line="336" w:lineRule="auto"/>
      </w:pPr>
      <w:r>
        <w:rPr>
          <w:rFonts w:ascii="맑은 고딕" w:hAnsi="맑은 고딕" w:eastAsia="맑은 고딕" w:cs="맑은 고딕"/>
          <w:b w:val="0"/>
          <w:i w:val="0"/>
          <w:color w:val="595959"/>
          <w:sz w:val="19"/>
        </w:rPr>
        <w:t>※ 단계별 종료 시 발주측 PM의 서면 승인을 받아야 다음 단계로 진행 가능하다. (단계별 검수 원칙)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3.2 추진 체계 및 소통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정기 회의: 주 1회 진행 회의 (요일/시간은 착수 시 협의), 단계 종료 시 단계 검수 회의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비정기 회의: 주요 의사결정/이슈 발생 시 발주측 PM 요청에 따라 24시간 내 회의 가능 상태 유지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이슈 관리: 발주처가 지정한 협업 도구(예: Notion, Slack 등)를 통해 이슈 등록 및 추적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진척률 보고: 매주 금요일 18시까지 주간 진척보고서 제출 (양식은 착수 시 발주처 제공)</w:t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4. 상세 과업 내용</w:t>
      </w:r>
    </w:p>
    <w:p>
      <w:pPr>
        <w:spacing w:before="8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각 컴포넌트의 P1 기능은 아래 요약표를 따르며, 상세 기능 명세는 "Pathwave 기능정의서 v1.0"에 따른다.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4.1 사용자 모바일 앱 (iOS / Android)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6690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대상 OS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iOS 14 이상, Android 8.0 (API 26) 이상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개발 프레임워크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Flutter 또는 React Native (수행사 제안, 발주처 승인)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핵심 기능 (P1)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회원가입/로그인, BLE 비콘 인식 및 핸드셰이크, WiFi 자동연결, 매장 정보 표시, 스탬프 적립, 쿠폰 수신/사용, 푸시 알림 수신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BLE 처리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iOS 백그라운드 스캔 제약사항에 대한 처리방안 제시 의무 (Foreground 안내 UX 포함)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보안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OAuth 2.0 기반 인증, 통신 TLS 1.2 이상, 단말 저장 데이터 암호화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UI 언어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한국어 (P1), 다국어 구조 확장 가능하도록 i18n 설계 의무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접근성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WCAG 2.1 AA 수준 권장사항 준수 노력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4.2 서비스 제공자(SP) 반응형 웹 포털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6690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대상 환경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PC, 태블릿, 모바일 반응형 (Chrome/Edge/Safari 최신 2개 버전)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핵심 기능 (P1)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SP 회원가입/심사, 매장 등록, 비콘 페어링/관리, 영업시간/공지사항 등록, 스탬프/쿠폰 캠페인 설정, 결제수단 등록, 이용현황/정산 조회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결제 연동(PG)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토스페이먼츠를 1순위로 적용 (KG이니시스, NHN KCP는 확장 가능 구조로 설계)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보안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관리자 2단계 인증 (이메일 또는 SMS OTP), 로그인 IP 로깅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UI 언어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한국어 (P1)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4.3 관리자 PC 웹 대시보드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6690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대상 환경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PC 웹 전용 (최소 해상도 1366×768), Chrome/Edge 최신 2개 버전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핵심 기능 (P1)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SP 가입 심사/승인, 비콘 자산 등록/회수, 이상 사용 모니터링, 정산 처리, 통계 대시보드(기본), 공지/약관 관리, 회원 신고 처리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권한 관리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최소 3단계 역할 분리 (최고관리자, 운영, 정산), 권한별 메뉴 노출 제어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보안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관리자 IP 화이트리스트 옵션, 모든 액션 감사로그 기록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데이터 처리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민감정보(개인정보, 결제정보)는 별도 암호화 저장 및 최소 권한 원칙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4.4 비콘 하드웨어 및 커스텀 펌웨어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6690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대상 칩셋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수행사 제안 (Nordic nRF52 계열 또는 동급 이상 권장)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BLE 규격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Bluetooth 5.0 이상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전원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배터리 구동 (최소 1년 이상 작동 설계 목표) 또는 USB 상시전원 옵션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핵심 펌웨어 기능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암호화된 UUID 광고(advertising), TTL 기반 신호 만료, 서버 검증을 위한 nonce 생성, OTA 펌웨어 업데이트 구조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프로토콜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"클라우드 핸드셰이크" 프로토콜 명세 준수 (별첨 "Pathwave 기능정의서 v1.0" 제2장)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인증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KC 인증 등 국내 무선기기 인증 절차 지원 자료 제공 (인증 비용은 발주처 부담)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수량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MVP 검증용 50대 (정확한 수량은 계약 시 확정)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4.5 회사 홈페이지 업데이트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6690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대상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트리거소프트 기존 홈페이지에 Pathwave 섹션 신설/통합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주요 페이지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서비스 소개, SP 가입 유도 랜딩, 사용자 앱 다운로드 안내, FAQ, 문의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디자인</w:t>
            </w:r>
          </w:p>
        </w:tc>
        <w:tc>
          <w:tcPr>
            <w:tcW w:type="dxa" w:w="669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기존 홈페이지 톤앤매너 준수, 모바일 반응형</w:t>
            </w:r>
          </w:p>
        </w:tc>
      </w:tr>
      <w:tr>
        <w:tc>
          <w:tcPr>
            <w:tcW w:type="dxa" w:w="2381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CMS</w:t>
            </w:r>
          </w:p>
        </w:tc>
        <w:tc>
          <w:tcPr>
            <w:tcW w:type="dxa" w:w="669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발주처 협의 (기존 CMS 유지 또는 정적 페이지)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5. 공통 기술 요구사항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5.1 아키텍처 및 인프라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클라우드: AWS, GCP, 또는 동급 이상 (수행사 제안, 발주처 승인). 한국 리전(서울) 필수.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백엔드: 마이크로서비스 또는 모듈러 모놀리스 구조 (수행사 제안). API는 RESTful 또는 GraphQL 명세 제공 의무.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데이터베이스: 트랜잭션성 데이터(RDB) + 시계열/로그 데이터(별도 저장소) 이원화 권장.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CI/CD: Git 기반 형상관리, 자동 빌드/배포 파이프라인 구축 의무.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관측성: 로그, 메트릭, 알림 체계 구축 (Sentry 또는 동급, CloudWatch 또는 동급).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5.2 성능 요구사항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지표</w:t>
            </w:r>
          </w:p>
        </w:tc>
        <w:tc>
          <w:tcPr>
            <w:tcW w:type="dxa" w:w="5953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목표치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BLE 인식 → WiFi 연결 완료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정상 상황 기준 평균 5초 이내, 95퍼센타일 8초 이내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API 응답시간 (P95)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조회 API 300ms 이내, 쓰기 API 500ms 이내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관리자 대시보드 로딩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초기 진입 2초 이내, 페이지 전환 1초 이내</w:t>
            </w:r>
          </w:p>
        </w:tc>
      </w:tr>
      <w:tr>
        <w:tc>
          <w:tcPr>
            <w:tcW w:type="dxa" w:w="3118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동시접속 (P1 목표)</w:t>
            </w:r>
          </w:p>
        </w:tc>
        <w:tc>
          <w:tcPr>
            <w:tcW w:type="dxa" w:w="5953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사용자 5,000 동시접속 기준 안정 동작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가용성 (SLA)</w:t>
            </w:r>
          </w:p>
        </w:tc>
        <w:tc>
          <w:tcPr>
            <w:tcW w:type="dxa" w:w="5953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월간 99.5% 이상 (계획 점검 제외)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5.3 보안 요구사항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개인정보 보호법 및 정보통신망법 등 국내 관련 법령 준수.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개인정보는 저장 및 전송 시 모두 암호화 (저장 시 AES-256, 전송 시 TLS 1.2 이상).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OWASP Top 10 취약점 점검 및 조치를 검수 단계에서 수행.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결제 정보는 PG사를 통한 처리만 허용하며, 카드번호 등 민감 결제정보를 자체 저장하지 아니함 (PCI-DSS 회피).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BLE UUID는 회차별 암호화 회전(rotation)을 통해 재생 공격(replay attack) 방지.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관리자 액션 100% 감사로그 기록 (최소 1년 보관).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5.4 확장성 및 유지보수성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P2/P3 기능(채팅, AI 추천 등)이 본 아키텍처에서 모듈 추가 형태로 확장 가능해야 함.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코드 품질: ESLint/Prettier 또는 동급 도구 적용, 핵심 비즈니스 로직 단위 테스트 커버리지 60% 이상.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문서화: API 명세서(OpenAPI/Swagger), 운영 매뉴얼, 장애 대응 가이드 제공.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5.5 호환성 및 표준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앱: iOS 14+ / Android 8.0+ 최신 2개 메이저 OS 버전 정상 동작 보장.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웹: Chrome, Edge, Safari, Firefox 최신 2개 버전 정상 동작.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국내 KISA 보안 표준 권고사항 준수.</w:t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6. 산출물 (납품물)</w:t>
      </w:r>
    </w:p>
    <w:p>
      <w:pPr>
        <w:spacing w:before="8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수행사는 다음의 산출물을 단계별로 납품하며, 최종 검수 시 모든 항목이 누락 없이 발주처에 인도되어야 한다.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6.1 분석/설계 산출물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요구사항 정의서 (확정본)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화면 정의서 (Storyboard)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DB 설계서 (ERD 포함)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API 명세서 (OpenAPI/Swagger 형식)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BLE 핸드셰이크 프로토콜 설계서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시스템 아키텍처 설계서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6.2 디자인 산출물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UI 디자인 원본 (Figma 또는 동급, 발주처 계정으로 이관)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디자인 시스템(컴포넌트 라이브러리) 문서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앱 아이콘, 스플래시, 마케팅 키비주얼 (소스파일 포함)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6.3 개발 산출물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전체 소스코드 (Git 저장소, 발주처 계정으로 이관)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빌드 가능한 형태의 프로젝트 (의존성 명세, 빌드 가이드 포함)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앱 설치파일 (iOS .ipa, Android .aab/.apk)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비콘 펌웨어 바이너리 및 소스코드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배포 스크립트 (CI/CD 파이프라인 정의)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6.4 운영/문서 산출물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운영 매뉴얼 (관리자용, SP용)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장애 대응 가이드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개인정보 처리방침 초안 및 약관 초안 (법무 검토는 발주처 책임)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최종 결과보고서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6.5 납품 형식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모든 산출물은 한국어로 작성 (국제표준 약어/용어는 영문 허용).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문서: PDF + 원본(Word, Excel, Figma 등) 동시 납품.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코드/디자인: 발주처 지정 저장소 계정으로 이관 완료한 시점을 인도일로 본다.</w:t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7. 검수 기준 및 절차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7.1 검수 원칙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단계별 검수 + 최종 검수의 이중 검수 체계로 운영한다.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각 단계 종료 시 발주측 PM의 서면 승인을 받아야 다음 단계로 진행한다.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최종 검수는 발주처 인수테스트(UAT) 통과 시점을 기준으로 한다.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7.2 단계별 검수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단계</w:t>
            </w:r>
          </w:p>
        </w:tc>
        <w:tc>
          <w:tcPr>
            <w:tcW w:type="dxa" w:w="7087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검수 기준 (모두 충족 시 합격)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분석/설계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요구사항 정의서, 화면 정의서, API 명세서, DB 설계서, 핸드셰이크 프로토콜 설계서 납품 및 발주처 승인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디자인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 화면 디자인 시안 발주처 확정, Figma 원본 이관 완료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개발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전 기능 동작 데모, 단위테스트 커버리지 기준 충족, 코드리뷰 완료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통합테스트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통합테스트 시나리오 100% 통과, 핵심 결함(Critical/Major) 0건, 마이너 결함 합의된 수준 이하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안정화/검수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UAT 시나리오 100% 통과, 보안점검(OWASP Top 10) 통과, 성능 요구사항(5.2장) 충족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7.3 결함 등급 정의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등급</w:t>
            </w:r>
          </w:p>
        </w:tc>
        <w:tc>
          <w:tcPr>
            <w:tcW w:type="dxa" w:w="7370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정의 및 처리 기준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Critical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서비스 전체 중단, 데이터 손실, 보안 사고. 검수 합격 조건: 0건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Major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핵심 기능 동작 불가, 회피 수단 없음. 검수 합격 조건: 0건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Minor</w:t>
            </w:r>
          </w:p>
        </w:tc>
        <w:tc>
          <w:tcPr>
            <w:tcW w:type="dxa" w:w="7370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비핵심 기능 결함, 회피 수단 있음. 검수 합격 조건: 합의된 수준 이하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Cosmetic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UI 미세 오류, 오탈자. 검수 합격 조건: 양 당사자 협의로 차기 패치 반영 가능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7.4 검수 절차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수행사가 단계 완료 보고서 및 산출물을 발주처에 제출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발주처는 영업일 기준 7일 이내 1차 검토 후 보완 요청 또는 검수 합격 통지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보완 요청 시, 수행사는 영업일 기준 5일 이내 보완 결과 제출 (반복 가능)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최종 검수 합격 시, 발주측 PM이 검수확인서에 서명함으로써 해당 단계 완료를 확정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UAT 기간은 최종 검수 단계에서 영업일 기준 10일을 기본으로 하며 협의 가능</w:t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8. 지적재산권 및 보안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8.1 지적재산권 귀속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본 과업의 결과로 산출되는 모든 산출물(소스코드, 디자인 원본, 문서, 비콘 펌웨어 등)의 일체의 지적재산권(저작권, 특허권 등)은 검수 완료 및 대금 완납과 동시에 발주처에 귀속된다.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수행사는 본 과업 수행 과정에서 발생한 모든 산출물을 제3자에게 공개하거나 재사용할 수 없다.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단, 수행사가 본 과업 이전부터 보유하고 있던 자체 라이브러리/프레임워크(Pre-existing IP)는 본 항의 예외로 하되, 이를 본 과업에 사용한 경우 발주처에 영구 사용권을 무상으로 부여한다.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오픈소스 소프트웨어(OSS)는 라이선스 조건을 준수하여 사용하며, 사용 OSS 목록과 라이선스를 별도 문서로 제공한다.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8.2 비밀유지 (NDA)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수행사는 본 과업 수행 중 알게 된 발주처의 모든 정보(사업 전략, 기술 정보, 고객 정보 등)에 대해 비밀을 유지하며, 계약 종료 후 5년간 동일하게 비밀유지 의무를 부담한다.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수행사는 본 과업 수행에 참여하는 모든 인력에 대해 별도의 비밀유지서약을 받아 발주처에 제출한다.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위반 시 손해배상 및 별도 법적 책임을 부담한다.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8.3 개인정보 및 데이터 보호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개발 단계에서 발주처의 실 운영 데이터를 사용하지 않으며, 가상 데이터 또는 비식별화된 샘플 데이터만 사용한다.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부득이하게 실 데이터 사용이 필요한 경우, 발주처의 사전 서면 동의 및 별도 위탁계약을 체결한 후 사용한다.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개발 환경의 보안 통제(접근권한, VPN, MFA 등)는 발주처가 요구하는 수준으로 구축한다.</w:t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9. 하자보수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9.1 하자보수 기간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최종 검수 합격일로부터 12개월간 무상 하자보수를 제공한다.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하자보수 기간 중 발생한 결함(Critical/Major)은 신고 접수 후 24시간 이내 임시조치 착수, 5영업일 이내 정상화 조치한다.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Minor 결함은 신고 접수 후 10영업일 이내 조치하며, Cosmetic 결함은 양 당사자 협의로 처리한다.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9.2 하자보수의 범위와 제외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범위: 본 과업 산출물의 결함, 보안 패치, 발주처 환경 변화에 따른 호환성 조치(OS 메이저 업데이트 등).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제외: 신규 기능 추가, 디자인 전면 개편, 외부 시스템 변경에 따른 대응, 발주처 임의 변경으로 인한 장애.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9.3 유지보수 (별도 계약)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하자보수 기간 종료 후의 운영/유지보수는 본 과업에 포함되지 않으며 별도 계약으로 진행한다.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유지보수 계약 조건(범위, 비용, SLA)은 본 과업 최종 검수 60일 전부터 협의를 개시한다.</w:t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10. 제안서 제출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10.1 제안서 필수 포함 항목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회사 일반현황 (조직, 매출, 유사 프로젝트 수행 실적 - 최근 3년)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본 과업에 대한 이해 및 추진 전략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상세 일정 계획 (WBS, 마일스톤)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투입 인력 계획 (역할별 인원, 핵심 인력 이력서)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기술 아키텍처 제안 (백엔드, 앱 프레임워크, 인프라)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BLE 핸드셰이크 구현 방안 (특히 iOS 백그라운드 제약 처리 방안)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품질관리 계획 (테스트 전략, 보안 점검 방안)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산정 견적 (단계별 비용 분해 및 총액)</w:t>
      </w:r>
    </w:p>
    <w:p>
      <w:pPr>
        <w:pStyle w:val="ListNumber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유사 프로젝트 포트폴리오 및 레퍼런스 (BLE/IoT/모바일 분야 우대)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10.2 제출 기한 및 방법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항목</w:t>
            </w:r>
          </w:p>
        </w:tc>
        <w:tc>
          <w:tcPr>
            <w:tcW w:type="dxa" w:w="7087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제출 기한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[발주처가 별도 안내]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제출 방법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지정 이메일 또는 안내된 제출 채널 (PDF + 원본 동시)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제안 발표</w:t>
            </w:r>
          </w:p>
        </w:tc>
        <w:tc>
          <w:tcPr>
            <w:tcW w:type="dxa" w:w="7087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필요 시 발주처가 발표 일정을 통보 (대면 또는 화상회의)</w:t>
            </w:r>
          </w:p>
        </w:tc>
      </w:tr>
      <w:tr>
        <w:tc>
          <w:tcPr>
            <w:tcW w:type="dxa" w:w="1984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문의 창구</w:t>
            </w:r>
          </w:p>
        </w:tc>
        <w:tc>
          <w:tcPr>
            <w:tcW w:type="dxa" w:w="7087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발주처 지정 담당자 이메일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10.3 평가 기준 (총 100점)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평가 항목</w:t>
            </w:r>
          </w:p>
        </w:tc>
        <w:tc>
          <w:tcPr>
            <w:tcW w:type="dxa" w:w="1417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배점</w:t>
            </w:r>
          </w:p>
        </w:tc>
        <w:tc>
          <w:tcPr>
            <w:tcW w:type="dxa" w:w="4252"/>
            <w:shd w:val="clear" w:color="auto" w:fill="1F4E78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/>
                <w:color w:val="FFFFFF"/>
                <w:sz w:val="21"/>
              </w:rPr>
              <w:t>주요 평가 요소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기술 이해도 및 구현 방안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30점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BLE 핸드셰이크 구현, 아키텍처 적정성</w:t>
            </w:r>
          </w:p>
        </w:tc>
      </w:tr>
      <w:tr>
        <w:tc>
          <w:tcPr>
            <w:tcW w:type="dxa" w:w="3402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유사 프로젝트 수행 실적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20점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BLE/IoT/모바일 분야 레퍼런스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투입 인력의 전문성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20점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핵심 인력 경력, 팀 구성 적정성</w:t>
            </w:r>
          </w:p>
        </w:tc>
      </w:tr>
      <w:tr>
        <w:tc>
          <w:tcPr>
            <w:tcW w:type="dxa" w:w="3402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일정 및 품질관리 계획</w:t>
            </w:r>
          </w:p>
        </w:tc>
        <w:tc>
          <w:tcPr>
            <w:tcW w:type="dxa" w:w="1417"/>
            <w:shd w:val="clear" w:color="auto" w:fill="F2F2F2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15점</w:t>
            </w:r>
          </w:p>
        </w:tc>
        <w:tc>
          <w:tcPr>
            <w:tcW w:type="dxa" w:w="4252"/>
            <w:shd w:val="clear" w:color="auto" w:fill="F2F2F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WBS 구체성, 테스트/보안 계획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견적 적정성</w:t>
            </w:r>
          </w:p>
        </w:tc>
        <w:tc>
          <w:tcPr>
            <w:tcW w:type="dxa" w:w="1417"/>
            <w:vAlign w:val="center"/>
          </w:tcPr>
          <w:p>
            <w:pPr>
              <w:spacing w:before="40" w:after="40"/>
              <w:jc w:val="center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15점</w:t>
            </w:r>
          </w:p>
        </w:tc>
        <w:tc>
          <w:tcPr>
            <w:tcW w:type="dxa" w:w="4252"/>
            <w:vAlign w:val="center"/>
          </w:tcPr>
          <w:p>
            <w:pPr>
              <w:spacing w:before="40" w:after="40"/>
              <w:jc w:val="left"/>
            </w:pPr>
            <w:r/>
            <w:r>
              <w:rPr>
                <w:rFonts w:ascii="맑은 고딕" w:hAnsi="맑은 고딕" w:eastAsia="맑은 고딕" w:cs="맑은 고딕"/>
                <w:b w:val="0"/>
                <w:sz w:val="20"/>
              </w:rPr>
              <w:t>단계별 비용 합리성, 가격 경쟁력</w:t>
            </w:r>
          </w:p>
        </w:tc>
      </w:tr>
    </w:tbl>
    <w:p>
      <w:pPr>
        <w:spacing w:before="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"/>
        </w:rPr>
      </w:r>
    </w:p>
    <w:p>
      <w:r>
        <w:br w:type="page"/>
      </w:r>
    </w:p>
    <w:p>
      <w:pPr>
        <w:keepNext/>
        <w:spacing w:before="360" w:after="160"/>
      </w:pPr>
      <w:r>
        <w:rPr>
          <w:rFonts w:ascii="맑은 고딕" w:hAnsi="맑은 고딕" w:eastAsia="맑은 고딕" w:cs="맑은 고딕"/>
          <w:b/>
          <w:color w:val="1F4E78"/>
          <w:sz w:val="30"/>
        </w:rPr>
        <w:t>11. 기타 사항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11.1 계약 변경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본 과업의 범위, 일정, 비용에 영향을 미치는 변경이 필요한 경우, 양 당사자 협의를 거쳐 서면(변경 합의서)으로 확정한다.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발주처 귀책으로 인한 지연/추가 작업은 별도 산정한다.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11.2 계약 해지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일방 당사자의 중대한 의무 위반 시, 상대방은 14일의 시정 기간을 부여한 후 시정되지 않으면 서면 통지로 해지할 수 있다.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해지 시까지의 진행된 작업분에 대한 정산은 양 당사자 협의로 정한다.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구체적 해지 조건은 본 과업지시서를 기반으로 한 본 계약서에서 정한다.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11.3 손해배상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수행사의 귀책 사유로 발주처에 손해가 발생한 경우, 수행사는 본 계약 총액을 한도로 손해배상 책임을 진다.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단, 고의 또는 중과실로 인한 손해, 비밀유지 의무 위반, 지적재산권 침해에 따른 손해는 한도 적용을 받지 아니한다.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11.4 준거법 및 관할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본 과업 및 관련 계약은 대한민국법을 준거법으로 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본 과업에 관한 분쟁이 발생한 경우, 발주처 본점 소재지 관할 법원을 1심 전속관할로 한다.</w:t>
      </w:r>
    </w:p>
    <w:p>
      <w:pPr>
        <w:keepNext/>
        <w:spacing w:before="240" w:after="120"/>
      </w:pPr>
      <w:r>
        <w:rPr>
          <w:rFonts w:ascii="맑은 고딕" w:hAnsi="맑은 고딕" w:eastAsia="맑은 고딕" w:cs="맑은 고딕"/>
          <w:b/>
          <w:color w:val="2E75B6"/>
          <w:sz w:val="25"/>
        </w:rPr>
        <w:t>11.5 본 문서의 효력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본 과업지시서는 본 과업과 관련하여 체결되는 용역계약서의 일부로 편입되며, 본 과업지시서와 계약서가 상충하는 경우 계약서를 우선한다.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본 과업지시서, 별첨 "Pathwave 기능정의서 v1.0", 양 당사자가 합의한 회의록 등은 본 과업의 범위를 해석하는 근거 문서로서 효력을 가진다.</w:t>
      </w:r>
    </w:p>
    <w:p>
      <w:pPr>
        <w:spacing w:before="240" w:after="0" w:line="336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</w:r>
    </w:p>
    <w:p>
      <w:pPr>
        <w:spacing w:before="80" w:after="80" w:line="336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[별첨 문서]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별첨 1: Pathwave 기능정의서 v1.0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별첨 2: 비콘 클라우드 핸드셰이크 프로토콜 상세 명세</w:t>
      </w:r>
    </w:p>
    <w:p>
      <w:pPr>
        <w:pStyle w:val="ListBullet"/>
        <w:spacing w:before="40" w:after="40" w:line="324" w:lineRule="auto"/>
      </w:pPr>
      <w:r>
        <w:rPr>
          <w:rFonts w:ascii="맑은 고딕" w:hAnsi="맑은 고딕" w:eastAsia="맑은 고딕" w:cs="맑은 고딕"/>
          <w:sz w:val="21"/>
        </w:rPr>
        <w:t>별첨 3: 발주처 표준 비밀유지서약서 (NDA) 양식</w:t>
      </w:r>
    </w:p>
    <w:p>
      <w:pPr>
        <w:spacing w:before="320" w:after="80" w:line="336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</w:r>
    </w:p>
    <w:p>
      <w:pPr>
        <w:spacing w:before="80" w:after="80" w:line="336" w:lineRule="auto"/>
        <w:jc w:val="center"/>
      </w:pPr>
      <w:r>
        <w:rPr>
          <w:rFonts w:ascii="맑은 고딕" w:hAnsi="맑은 고딕" w:eastAsia="맑은 고딕" w:cs="맑은 고딕"/>
          <w:b w:val="0"/>
          <w:i w:val="0"/>
          <w:color w:val="808080"/>
          <w:sz w:val="18"/>
        </w:rPr>
        <w:t>─── 문서 끝 ───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