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B25F0C">
      <w:pPr>
        <w:jc w:val="both"/>
        <w:rPr>
          <w:rFonts w:hint="default" w:ascii="Calibri" w:hAnsi="Calibri" w:cs="Calibri"/>
          <w:sz w:val="32"/>
          <w:szCs w:val="32"/>
        </w:rPr>
      </w:pPr>
      <w:bookmarkStart w:id="0" w:name="_Toc_Konn3ct_Network_and_Infrastructure_Confi_1"/>
    </w:p>
    <w:p w14:paraId="52F5133E">
      <w:pPr>
        <w:ind w:left="720" w:firstLine="720"/>
        <w:jc w:val="both"/>
        <w:rPr>
          <w:rFonts w:hint="default" w:ascii="Calibri" w:hAnsi="Calibri" w:cs="Calibri"/>
          <w:b/>
          <w:sz w:val="32"/>
          <w:szCs w:val="32"/>
          <w:u w:val="single"/>
        </w:rPr>
      </w:pPr>
      <w:r>
        <w:rPr>
          <w:rFonts w:hint="default" w:ascii="Calibri" w:hAnsi="Calibri" w:cs="Calibri"/>
          <w:b/>
          <w:sz w:val="32"/>
          <w:szCs w:val="32"/>
          <w:u w:val="single"/>
        </w:rPr>
        <w:t>Document Configuration</w:t>
      </w:r>
    </w:p>
    <w:p w14:paraId="752ACCF3">
      <w:pPr>
        <w:ind w:left="720" w:firstLine="720"/>
        <w:jc w:val="both"/>
        <w:rPr>
          <w:rFonts w:hint="default" w:ascii="Calibri" w:hAnsi="Calibri" w:cs="Calibri"/>
          <w:b/>
          <w:sz w:val="32"/>
          <w:szCs w:val="32"/>
          <w:u w:val="single"/>
        </w:rPr>
      </w:pPr>
    </w:p>
    <w:tbl>
      <w:tblPr>
        <w:tblStyle w:val="17"/>
        <w:tblW w:w="989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95"/>
        <w:gridCol w:w="7404"/>
      </w:tblGrid>
      <w:tr w14:paraId="0FD81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495" w:type="dxa"/>
          </w:tcPr>
          <w:p w14:paraId="1EF02118">
            <w:pPr>
              <w:spacing w:before="240" w:after="0" w:line="240" w:lineRule="auto"/>
              <w:jc w:val="both"/>
              <w:rPr>
                <w:rFonts w:hint="default" w:ascii="Calibri" w:hAnsi="Calibri" w:cs="Calibri"/>
                <w:b/>
              </w:rPr>
            </w:pPr>
            <w:r>
              <w:rPr>
                <w:rFonts w:hint="default" w:ascii="Calibri" w:hAnsi="Calibri" w:cs="Calibri"/>
                <w:b/>
              </w:rPr>
              <w:t>Title</w:t>
            </w:r>
          </w:p>
        </w:tc>
        <w:tc>
          <w:tcPr>
            <w:tcW w:w="7404" w:type="dxa"/>
          </w:tcPr>
          <w:p w14:paraId="7D325AF3">
            <w:pPr>
              <w:spacing w:before="240" w:after="0" w:line="240" w:lineRule="auto"/>
              <w:jc w:val="both"/>
              <w:rPr>
                <w:rFonts w:hint="default" w:ascii="Calibri" w:hAnsi="Calibri" w:cs="Calibri"/>
                <w:b/>
              </w:rPr>
            </w:pPr>
            <w:r>
              <w:rPr>
                <w:rFonts w:hint="default" w:ascii="Calibri" w:hAnsi="Calibri"/>
              </w:rPr>
              <w:t>Konn3ct Network and Infrastructure Configuration Document</w:t>
            </w:r>
          </w:p>
        </w:tc>
      </w:tr>
      <w:tr w14:paraId="1242FA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495" w:type="dxa"/>
          </w:tcPr>
          <w:p w14:paraId="6FD7F74B">
            <w:pPr>
              <w:spacing w:before="240" w:after="0" w:line="240" w:lineRule="auto"/>
              <w:jc w:val="both"/>
              <w:rPr>
                <w:rFonts w:hint="default" w:ascii="Calibri" w:hAnsi="Calibri" w:cs="Calibri"/>
                <w:b/>
              </w:rPr>
            </w:pPr>
            <w:r>
              <w:rPr>
                <w:rFonts w:hint="default" w:ascii="Calibri" w:hAnsi="Calibri" w:cs="Calibri"/>
                <w:b/>
              </w:rPr>
              <w:t>Custodian</w:t>
            </w:r>
          </w:p>
        </w:tc>
        <w:tc>
          <w:tcPr>
            <w:tcW w:w="7404" w:type="dxa"/>
          </w:tcPr>
          <w:p w14:paraId="4B36D981">
            <w:pPr>
              <w:spacing w:before="240" w:after="0" w:line="240" w:lineRule="auto"/>
              <w:jc w:val="both"/>
              <w:rPr>
                <w:rFonts w:hint="default" w:ascii="Calibri" w:hAnsi="Calibri" w:cs="Calibri"/>
              </w:rPr>
            </w:pPr>
            <w:r>
              <w:rPr>
                <w:rFonts w:hint="default" w:ascii="Calibri" w:hAnsi="Calibri" w:cs="Calibri"/>
                <w:lang w:val="en-US"/>
              </w:rPr>
              <w:t>Engineering</w:t>
            </w:r>
            <w:r>
              <w:rPr>
                <w:rFonts w:hint="default" w:ascii="Calibri" w:hAnsi="Calibri" w:cs="Calibri"/>
              </w:rPr>
              <w:t xml:space="preserve"> Department</w:t>
            </w:r>
          </w:p>
        </w:tc>
      </w:tr>
      <w:tr w14:paraId="048FF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495" w:type="dxa"/>
          </w:tcPr>
          <w:p w14:paraId="2E9EB153">
            <w:pPr>
              <w:spacing w:before="240" w:after="0" w:line="240" w:lineRule="auto"/>
              <w:jc w:val="both"/>
              <w:rPr>
                <w:rFonts w:hint="default" w:ascii="Calibri" w:hAnsi="Calibri" w:cs="Calibri"/>
                <w:b/>
              </w:rPr>
            </w:pPr>
            <w:r>
              <w:rPr>
                <w:rFonts w:hint="default" w:ascii="Calibri" w:hAnsi="Calibri" w:cs="Calibri"/>
                <w:b/>
              </w:rPr>
              <w:t>Date Created</w:t>
            </w:r>
          </w:p>
        </w:tc>
        <w:tc>
          <w:tcPr>
            <w:tcW w:w="7404" w:type="dxa"/>
          </w:tcPr>
          <w:p w14:paraId="19058A1B">
            <w:pPr>
              <w:spacing w:before="240" w:after="0" w:line="240" w:lineRule="auto"/>
              <w:jc w:val="both"/>
              <w:rPr>
                <w:rFonts w:hint="default" w:ascii="Calibri" w:hAnsi="Calibri" w:cs="Calibri"/>
                <w:lang w:val="en-US"/>
              </w:rPr>
            </w:pPr>
            <w:r>
              <w:rPr>
                <w:rFonts w:hint="default" w:ascii="Calibri" w:hAnsi="Calibri" w:cs="Calibri"/>
                <w:lang w:val="en-US"/>
              </w:rPr>
              <w:t>01</w:t>
            </w:r>
            <w:r>
              <w:rPr>
                <w:rFonts w:hint="default" w:ascii="Calibri" w:hAnsi="Calibri" w:cs="Calibri"/>
              </w:rPr>
              <w:t>-</w:t>
            </w:r>
            <w:r>
              <w:rPr>
                <w:rFonts w:hint="default" w:ascii="Calibri" w:hAnsi="Calibri" w:cs="Calibri"/>
                <w:lang w:val="en-US"/>
              </w:rPr>
              <w:t>April -</w:t>
            </w:r>
            <w:r>
              <w:rPr>
                <w:rFonts w:hint="default" w:ascii="Calibri" w:hAnsi="Calibri" w:cs="Calibri"/>
              </w:rPr>
              <w:t>202</w:t>
            </w:r>
            <w:r>
              <w:rPr>
                <w:rFonts w:hint="default" w:ascii="Calibri" w:hAnsi="Calibri" w:cs="Calibri"/>
                <w:lang w:val="en-US"/>
              </w:rPr>
              <w:t>6</w:t>
            </w:r>
          </w:p>
        </w:tc>
      </w:tr>
      <w:tr w14:paraId="08541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8" w:hRule="atLeast"/>
        </w:trPr>
        <w:tc>
          <w:tcPr>
            <w:tcW w:w="2495" w:type="dxa"/>
          </w:tcPr>
          <w:p w14:paraId="21E47B1D">
            <w:pPr>
              <w:spacing w:before="240" w:after="0" w:line="240" w:lineRule="auto"/>
              <w:jc w:val="both"/>
              <w:rPr>
                <w:rFonts w:hint="default" w:ascii="Calibri" w:hAnsi="Calibri" w:cs="Calibri"/>
                <w:b/>
              </w:rPr>
            </w:pPr>
            <w:r>
              <w:rPr>
                <w:rFonts w:hint="default" w:ascii="Calibri" w:hAnsi="Calibri" w:cs="Calibri"/>
                <w:b/>
              </w:rPr>
              <w:t>Summary</w:t>
            </w:r>
          </w:p>
        </w:tc>
        <w:tc>
          <w:tcPr>
            <w:tcW w:w="7404" w:type="dxa"/>
          </w:tcPr>
          <w:p w14:paraId="5553BBAF">
            <w:pPr>
              <w:spacing w:before="240" w:after="0" w:line="240" w:lineRule="auto"/>
              <w:jc w:val="both"/>
              <w:rPr>
                <w:rFonts w:hint="default" w:ascii="Calibri" w:hAnsi="Calibri" w:cs="Calibri"/>
              </w:rPr>
            </w:pPr>
            <w:r>
              <w:rPr>
                <w:rFonts w:hint="default" w:ascii="Calibri" w:hAnsi="Calibri"/>
              </w:rPr>
              <w:t>This document details the network architecture, load balancing requirements, security group configurations, and traffic routing mechanisms for the Konn3ct platform</w:t>
            </w:r>
          </w:p>
        </w:tc>
      </w:tr>
      <w:tr w14:paraId="5F75C3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495" w:type="dxa"/>
          </w:tcPr>
          <w:p w14:paraId="1C5A523F">
            <w:pPr>
              <w:spacing w:before="240" w:after="0" w:line="240" w:lineRule="auto"/>
              <w:jc w:val="both"/>
              <w:rPr>
                <w:rFonts w:hint="default" w:ascii="Calibri" w:hAnsi="Calibri" w:cs="Calibri"/>
                <w:b/>
              </w:rPr>
            </w:pPr>
            <w:r>
              <w:rPr>
                <w:rFonts w:hint="default" w:ascii="Calibri" w:hAnsi="Calibri" w:cs="Calibri"/>
                <w:b/>
              </w:rPr>
              <w:t>Classification</w:t>
            </w:r>
          </w:p>
        </w:tc>
        <w:tc>
          <w:tcPr>
            <w:tcW w:w="7404" w:type="dxa"/>
          </w:tcPr>
          <w:p w14:paraId="50120C7C">
            <w:pPr>
              <w:spacing w:before="240" w:after="0" w:line="240" w:lineRule="auto"/>
              <w:jc w:val="both"/>
              <w:rPr>
                <w:rFonts w:hint="default" w:ascii="Calibri" w:hAnsi="Calibri" w:cs="Calibri"/>
              </w:rPr>
            </w:pPr>
            <w:r>
              <w:rPr>
                <w:rFonts w:hint="default" w:ascii="Calibri" w:hAnsi="Calibri" w:cs="Calibri"/>
              </w:rPr>
              <w:t>Restricted</w:t>
            </w:r>
          </w:p>
        </w:tc>
      </w:tr>
      <w:tr w14:paraId="50918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495" w:type="dxa"/>
          </w:tcPr>
          <w:p w14:paraId="43D8A4F1">
            <w:pPr>
              <w:spacing w:before="240" w:after="0" w:line="240" w:lineRule="auto"/>
              <w:jc w:val="both"/>
              <w:rPr>
                <w:rFonts w:hint="default" w:ascii="Calibri" w:hAnsi="Calibri" w:cs="Calibri"/>
                <w:b/>
              </w:rPr>
            </w:pPr>
            <w:r>
              <w:rPr>
                <w:rFonts w:hint="default" w:ascii="Calibri" w:hAnsi="Calibri" w:cs="Calibri"/>
                <w:b/>
              </w:rPr>
              <w:t>Reference</w:t>
            </w:r>
          </w:p>
        </w:tc>
        <w:tc>
          <w:tcPr>
            <w:tcW w:w="7404" w:type="dxa"/>
          </w:tcPr>
          <w:p w14:paraId="693C7CED">
            <w:pPr>
              <w:spacing w:before="240" w:after="0" w:line="240" w:lineRule="auto"/>
              <w:jc w:val="both"/>
              <w:rPr>
                <w:rFonts w:hint="default" w:ascii="Calibri" w:hAnsi="Calibri" w:cs="Calibri"/>
              </w:rPr>
            </w:pPr>
            <w:r>
              <w:rPr>
                <w:rFonts w:hint="default" w:ascii="Calibri" w:hAnsi="Calibri" w:cs="Calibri"/>
              </w:rPr>
              <w:t>K8S-NET-CONF-019</w:t>
            </w:r>
          </w:p>
        </w:tc>
      </w:tr>
      <w:tr w14:paraId="6614F9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495" w:type="dxa"/>
          </w:tcPr>
          <w:p w14:paraId="79CCFD7D">
            <w:pPr>
              <w:spacing w:before="240" w:after="0" w:line="240" w:lineRule="auto"/>
              <w:jc w:val="both"/>
              <w:rPr>
                <w:rFonts w:hint="default" w:ascii="Calibri" w:hAnsi="Calibri" w:cs="Calibri"/>
                <w:b/>
                <w:lang w:val="en-US"/>
              </w:rPr>
            </w:pPr>
            <w:r>
              <w:rPr>
                <w:rFonts w:hint="default" w:ascii="Calibri" w:hAnsi="Calibri" w:cs="Calibri"/>
                <w:b/>
                <w:lang w:val="en-US"/>
              </w:rPr>
              <w:t>Status</w:t>
            </w:r>
          </w:p>
        </w:tc>
        <w:tc>
          <w:tcPr>
            <w:tcW w:w="7404" w:type="dxa"/>
          </w:tcPr>
          <w:p w14:paraId="48259D6B">
            <w:pPr>
              <w:spacing w:before="240" w:after="0" w:line="240" w:lineRule="auto"/>
              <w:jc w:val="both"/>
              <w:rPr>
                <w:rFonts w:hint="default" w:ascii="Calibri" w:hAnsi="Calibri" w:cs="Calibri"/>
                <w:lang w:val="en-US"/>
              </w:rPr>
            </w:pPr>
            <w:r>
              <w:rPr>
                <w:rFonts w:hint="default" w:ascii="Calibri" w:hAnsi="Calibri" w:cs="Calibri"/>
              </w:rPr>
              <w:t>A</w:t>
            </w:r>
            <w:r>
              <w:rPr>
                <w:rFonts w:hint="default" w:ascii="Calibri" w:hAnsi="Calibri" w:cs="Calibri"/>
                <w:lang w:val="en-US"/>
              </w:rPr>
              <w:t>pproved</w:t>
            </w:r>
          </w:p>
        </w:tc>
      </w:tr>
      <w:tr w14:paraId="4D666A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0" w:hRule="atLeast"/>
        </w:trPr>
        <w:tc>
          <w:tcPr>
            <w:tcW w:w="2495" w:type="dxa"/>
          </w:tcPr>
          <w:p w14:paraId="4DA8DF83">
            <w:pPr>
              <w:spacing w:before="240" w:after="0" w:line="240" w:lineRule="auto"/>
              <w:jc w:val="both"/>
              <w:rPr>
                <w:rFonts w:hint="default" w:ascii="Calibri" w:hAnsi="Calibri" w:cs="Calibri"/>
                <w:b/>
              </w:rPr>
            </w:pPr>
            <w:r>
              <w:rPr>
                <w:rFonts w:hint="default" w:ascii="Calibri" w:hAnsi="Calibri" w:cs="Calibri"/>
                <w:b/>
              </w:rPr>
              <w:t>Version</w:t>
            </w:r>
          </w:p>
        </w:tc>
        <w:tc>
          <w:tcPr>
            <w:tcW w:w="7404" w:type="dxa"/>
          </w:tcPr>
          <w:p w14:paraId="62937117">
            <w:pPr>
              <w:spacing w:before="240" w:after="0" w:line="240" w:lineRule="auto"/>
              <w:jc w:val="both"/>
              <w:rPr>
                <w:rFonts w:hint="default" w:ascii="Calibri" w:hAnsi="Calibri" w:cs="Calibri"/>
              </w:rPr>
            </w:pPr>
            <w:r>
              <w:rPr>
                <w:rFonts w:hint="default" w:ascii="Calibri" w:hAnsi="Calibri" w:cs="Calibri"/>
              </w:rPr>
              <w:t>1.0</w:t>
            </w:r>
          </w:p>
        </w:tc>
      </w:tr>
    </w:tbl>
    <w:p w14:paraId="6D1666B3">
      <w:pPr>
        <w:jc w:val="both"/>
        <w:rPr>
          <w:rFonts w:hint="default" w:ascii="Calibri" w:hAnsi="Calibri" w:cs="Calibri"/>
        </w:rPr>
      </w:pPr>
    </w:p>
    <w:p w14:paraId="0F6EDFA9">
      <w:pPr>
        <w:jc w:val="center"/>
        <w:rPr>
          <w:rFonts w:hint="default" w:ascii="Calibri" w:hAnsi="Calibri" w:cs="Calibri"/>
          <w:b/>
          <w:u w:val="single"/>
        </w:rPr>
      </w:pPr>
      <w:r>
        <w:rPr>
          <w:rFonts w:hint="default" w:ascii="Calibri" w:hAnsi="Calibri" w:cs="Calibri"/>
          <w:b/>
          <w:u w:val="single"/>
        </w:rPr>
        <w:t>Approval</w:t>
      </w:r>
    </w:p>
    <w:tbl>
      <w:tblPr>
        <w:tblStyle w:val="17"/>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02"/>
        <w:gridCol w:w="2967"/>
        <w:gridCol w:w="2734"/>
        <w:gridCol w:w="1764"/>
      </w:tblGrid>
      <w:tr w14:paraId="35232F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2" w:type="dxa"/>
          </w:tcPr>
          <w:p w14:paraId="2B8708D3">
            <w:pPr>
              <w:pStyle w:val="22"/>
              <w:spacing w:before="240"/>
              <w:jc w:val="both"/>
              <w:rPr>
                <w:rFonts w:hint="default" w:ascii="Calibri" w:hAnsi="Calibri" w:cs="Calibri"/>
                <w:b/>
              </w:rPr>
            </w:pPr>
            <w:r>
              <w:rPr>
                <w:rFonts w:hint="default" w:ascii="Calibri" w:hAnsi="Calibri" w:cs="Calibri"/>
                <w:b/>
              </w:rPr>
              <w:t xml:space="preserve">Name </w:t>
            </w:r>
          </w:p>
        </w:tc>
        <w:tc>
          <w:tcPr>
            <w:tcW w:w="2967" w:type="dxa"/>
          </w:tcPr>
          <w:p w14:paraId="766A437E">
            <w:pPr>
              <w:pStyle w:val="22"/>
              <w:spacing w:before="240"/>
              <w:jc w:val="both"/>
              <w:rPr>
                <w:rFonts w:hint="default" w:ascii="Calibri" w:hAnsi="Calibri" w:cs="Calibri"/>
                <w:b/>
              </w:rPr>
            </w:pPr>
            <w:r>
              <w:rPr>
                <w:rFonts w:hint="default" w:ascii="Calibri" w:hAnsi="Calibri" w:cs="Calibri"/>
                <w:b/>
              </w:rPr>
              <w:t>Position</w:t>
            </w:r>
          </w:p>
        </w:tc>
        <w:tc>
          <w:tcPr>
            <w:tcW w:w="2734" w:type="dxa"/>
          </w:tcPr>
          <w:p w14:paraId="65AC257E">
            <w:pPr>
              <w:pStyle w:val="22"/>
              <w:spacing w:before="240"/>
              <w:jc w:val="both"/>
              <w:rPr>
                <w:rFonts w:hint="default" w:ascii="Calibri" w:hAnsi="Calibri" w:cs="Calibri"/>
                <w:b/>
              </w:rPr>
            </w:pPr>
            <w:r>
              <w:rPr>
                <w:rFonts w:hint="default" w:ascii="Calibri" w:hAnsi="Calibri" w:cs="Calibri"/>
                <w:b/>
              </w:rPr>
              <w:t>Signature</w:t>
            </w:r>
          </w:p>
        </w:tc>
        <w:tc>
          <w:tcPr>
            <w:tcW w:w="1764" w:type="dxa"/>
          </w:tcPr>
          <w:p w14:paraId="18274232">
            <w:pPr>
              <w:pStyle w:val="22"/>
              <w:spacing w:before="240"/>
              <w:jc w:val="both"/>
              <w:rPr>
                <w:rFonts w:hint="default" w:ascii="Calibri" w:hAnsi="Calibri" w:cs="Calibri"/>
                <w:b/>
              </w:rPr>
            </w:pPr>
            <w:r>
              <w:rPr>
                <w:rFonts w:hint="default" w:ascii="Calibri" w:hAnsi="Calibri" w:cs="Calibri"/>
                <w:b/>
              </w:rPr>
              <w:t>Date</w:t>
            </w:r>
          </w:p>
        </w:tc>
      </w:tr>
      <w:tr w14:paraId="1CCF20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2" w:type="dxa"/>
          </w:tcPr>
          <w:p w14:paraId="21E09DA8">
            <w:pPr>
              <w:pStyle w:val="22"/>
              <w:spacing w:before="240"/>
              <w:jc w:val="both"/>
              <w:rPr>
                <w:rFonts w:hint="default" w:ascii="Calibri" w:hAnsi="Calibri" w:cs="Calibri"/>
                <w:lang w:val="en-US"/>
              </w:rPr>
            </w:pPr>
            <w:r>
              <w:rPr>
                <w:rFonts w:hint="default" w:ascii="Calibri" w:hAnsi="Calibri" w:cs="Calibri"/>
                <w:lang w:val="en-US"/>
              </w:rPr>
              <w:t>Odejinmi Samuel</w:t>
            </w:r>
          </w:p>
        </w:tc>
        <w:tc>
          <w:tcPr>
            <w:tcW w:w="2967" w:type="dxa"/>
          </w:tcPr>
          <w:p w14:paraId="410CFD10">
            <w:pPr>
              <w:pStyle w:val="22"/>
              <w:spacing w:before="240"/>
              <w:jc w:val="both"/>
              <w:rPr>
                <w:rFonts w:hint="default" w:ascii="Calibri" w:hAnsi="Calibri" w:cs="Calibri"/>
              </w:rPr>
            </w:pPr>
            <w:r>
              <w:rPr>
                <w:rFonts w:hint="default" w:ascii="Calibri" w:hAnsi="Calibri" w:cs="Calibri"/>
              </w:rPr>
              <w:t>Chief Technology Officer</w:t>
            </w:r>
          </w:p>
        </w:tc>
        <w:tc>
          <w:tcPr>
            <w:tcW w:w="2734" w:type="dxa"/>
          </w:tcPr>
          <w:p w14:paraId="2A553025">
            <w:pPr>
              <w:pStyle w:val="22"/>
              <w:spacing w:before="240"/>
              <w:jc w:val="both"/>
              <w:rPr>
                <w:rFonts w:hint="default" w:ascii="Calibri" w:hAnsi="Calibri" w:cs="Calibri"/>
                <w:lang w:val="en-US"/>
              </w:rPr>
            </w:pPr>
            <w:r>
              <w:rPr>
                <w:rFonts w:hint="default" w:ascii="Calibri" w:hAnsi="Calibri" w:cs="Calibri"/>
                <w:lang w:val="en-US"/>
              </w:rPr>
              <w:drawing>
                <wp:inline distT="0" distB="0" distL="114300" distR="114300">
                  <wp:extent cx="1598930" cy="424180"/>
                  <wp:effectExtent l="0" t="0" r="0" b="0"/>
                  <wp:docPr id="4" name="Picture 4" descr="20221101_083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20221101_083857"/>
                          <pic:cNvPicPr>
                            <a:picLocks noChangeAspect="1"/>
                          </pic:cNvPicPr>
                        </pic:nvPicPr>
                        <pic:blipFill>
                          <a:blip r:embed="rId5">
                            <a:biLevel thresh="50000"/>
                          </a:blip>
                          <a:srcRect l="3671" t="33333" r="13062" b="39775"/>
                          <a:stretch>
                            <a:fillRect/>
                          </a:stretch>
                        </pic:blipFill>
                        <pic:spPr>
                          <a:xfrm>
                            <a:off x="0" y="0"/>
                            <a:ext cx="1598930" cy="424180"/>
                          </a:xfrm>
                          <a:prstGeom prst="rect">
                            <a:avLst/>
                          </a:prstGeom>
                        </pic:spPr>
                      </pic:pic>
                    </a:graphicData>
                  </a:graphic>
                </wp:inline>
              </w:drawing>
            </w:r>
          </w:p>
        </w:tc>
        <w:tc>
          <w:tcPr>
            <w:tcW w:w="1764" w:type="dxa"/>
          </w:tcPr>
          <w:p w14:paraId="2124D369">
            <w:pPr>
              <w:pStyle w:val="22"/>
              <w:spacing w:before="240"/>
              <w:jc w:val="both"/>
              <w:rPr>
                <w:rFonts w:hint="default" w:ascii="Calibri" w:hAnsi="Calibri" w:cs="Calibri"/>
                <w:lang w:val="en-US"/>
              </w:rPr>
            </w:pPr>
            <w:r>
              <w:rPr>
                <w:rFonts w:hint="default" w:ascii="Calibri" w:hAnsi="Calibri" w:cs="Calibri"/>
                <w:lang w:val="en-US"/>
              </w:rPr>
              <w:t>2026-04-10</w:t>
            </w:r>
          </w:p>
        </w:tc>
      </w:tr>
      <w:tr w14:paraId="20255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2" w:type="dxa"/>
          </w:tcPr>
          <w:p w14:paraId="7E806555">
            <w:pPr>
              <w:pStyle w:val="22"/>
              <w:spacing w:before="240"/>
              <w:jc w:val="both"/>
              <w:rPr>
                <w:rFonts w:hint="default" w:ascii="Calibri" w:hAnsi="Calibri" w:cs="Calibri"/>
                <w:lang w:val="en-US"/>
              </w:rPr>
            </w:pPr>
            <w:r>
              <w:rPr>
                <w:rFonts w:hint="default" w:ascii="Calibri" w:hAnsi="Calibri" w:cs="Calibri"/>
                <w:lang w:val="en-US"/>
              </w:rPr>
              <w:t>Williams Olufemi</w:t>
            </w:r>
          </w:p>
        </w:tc>
        <w:tc>
          <w:tcPr>
            <w:tcW w:w="2967" w:type="dxa"/>
          </w:tcPr>
          <w:p w14:paraId="5087E948">
            <w:pPr>
              <w:pStyle w:val="22"/>
              <w:spacing w:before="240"/>
              <w:jc w:val="both"/>
              <w:rPr>
                <w:rFonts w:hint="default" w:ascii="Calibri" w:hAnsi="Calibri" w:cs="Calibri"/>
                <w:lang w:val="en-US"/>
              </w:rPr>
            </w:pPr>
            <w:r>
              <w:rPr>
                <w:rFonts w:hint="default" w:ascii="Calibri" w:hAnsi="Calibri" w:cs="Calibri"/>
                <w:lang w:val="en-US"/>
              </w:rPr>
              <w:t>CEO</w:t>
            </w:r>
            <w:r>
              <w:rPr>
                <w:rFonts w:hint="default" w:ascii="Calibri" w:hAnsi="Calibri" w:cs="Calibri"/>
                <w:lang w:val="en-US"/>
              </w:rPr>
              <w:drawing>
                <wp:inline distT="0" distB="0" distL="114300" distR="114300">
                  <wp:extent cx="0" cy="0"/>
                  <wp:effectExtent l="0" t="0" r="0" b="0"/>
                  <wp:docPr id="2" name="Picture 2" descr="SOW e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OW eSignature"/>
                          <pic:cNvPicPr>
                            <a:picLocks noChangeAspect="1"/>
                          </pic:cNvPicPr>
                        </pic:nvPicPr>
                        <pic:blipFill>
                          <a:blip r:embed="rId6"/>
                          <a:stretch>
                            <a:fillRect/>
                          </a:stretch>
                        </pic:blipFill>
                        <pic:spPr>
                          <a:xfrm>
                            <a:off x="0" y="0"/>
                            <a:ext cx="0" cy="0"/>
                          </a:xfrm>
                          <a:prstGeom prst="rect">
                            <a:avLst/>
                          </a:prstGeom>
                        </pic:spPr>
                      </pic:pic>
                    </a:graphicData>
                  </a:graphic>
                </wp:inline>
              </w:drawing>
            </w:r>
          </w:p>
        </w:tc>
        <w:tc>
          <w:tcPr>
            <w:tcW w:w="2734" w:type="dxa"/>
          </w:tcPr>
          <w:p w14:paraId="17472BC8">
            <w:pPr>
              <w:pStyle w:val="22"/>
              <w:spacing w:before="240"/>
              <w:jc w:val="both"/>
              <w:rPr>
                <w:rFonts w:hint="default" w:ascii="Calibri" w:hAnsi="Calibri" w:cs="Calibri"/>
                <w:lang w:val="en-US"/>
              </w:rPr>
            </w:pPr>
            <w:r>
              <w:rPr>
                <w:rFonts w:hint="default" w:ascii="Calibri" w:hAnsi="Calibri" w:cs="Calibri"/>
                <w:lang w:val="en-US"/>
              </w:rPr>
              <w:drawing>
                <wp:inline distT="0" distB="0" distL="114300" distR="114300">
                  <wp:extent cx="834390" cy="417195"/>
                  <wp:effectExtent l="0" t="0" r="0" b="0"/>
                  <wp:docPr id="3" name="Picture 3" descr="SOW e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OW eSignature"/>
                          <pic:cNvPicPr>
                            <a:picLocks noChangeAspect="1"/>
                          </pic:cNvPicPr>
                        </pic:nvPicPr>
                        <pic:blipFill>
                          <a:blip r:embed="rId6"/>
                          <a:stretch>
                            <a:fillRect/>
                          </a:stretch>
                        </pic:blipFill>
                        <pic:spPr>
                          <a:xfrm>
                            <a:off x="0" y="0"/>
                            <a:ext cx="834390" cy="417195"/>
                          </a:xfrm>
                          <a:prstGeom prst="rect">
                            <a:avLst/>
                          </a:prstGeom>
                        </pic:spPr>
                      </pic:pic>
                    </a:graphicData>
                  </a:graphic>
                </wp:inline>
              </w:drawing>
            </w:r>
          </w:p>
        </w:tc>
        <w:tc>
          <w:tcPr>
            <w:tcW w:w="1764" w:type="dxa"/>
          </w:tcPr>
          <w:p w14:paraId="38F43502">
            <w:pPr>
              <w:pStyle w:val="22"/>
              <w:spacing w:before="240"/>
              <w:jc w:val="both"/>
              <w:rPr>
                <w:rFonts w:hint="default" w:ascii="Calibri" w:hAnsi="Calibri" w:cs="Calibri"/>
                <w:lang w:val="en-US"/>
              </w:rPr>
            </w:pPr>
            <w:r>
              <w:rPr>
                <w:rFonts w:hint="default" w:ascii="Calibri" w:hAnsi="Calibri" w:cs="Calibri"/>
                <w:lang w:val="en-US"/>
              </w:rPr>
              <w:t>2026-05-01</w:t>
            </w:r>
          </w:p>
        </w:tc>
      </w:tr>
    </w:tbl>
    <w:p w14:paraId="6A364431">
      <w:pPr>
        <w:jc w:val="center"/>
        <w:rPr>
          <w:rFonts w:hint="default" w:ascii="Calibri" w:hAnsi="Calibri" w:cs="Calibri"/>
          <w:b/>
          <w:spacing w:val="5"/>
        </w:rPr>
      </w:pPr>
    </w:p>
    <w:p w14:paraId="1A69D0F1">
      <w:pPr>
        <w:pStyle w:val="22"/>
        <w:jc w:val="center"/>
        <w:rPr>
          <w:rFonts w:hint="default" w:ascii="Calibri" w:hAnsi="Calibri" w:cs="Calibri"/>
          <w:b/>
          <w:u w:val="single"/>
        </w:rPr>
      </w:pPr>
      <w:r>
        <w:rPr>
          <w:rFonts w:hint="default" w:ascii="Calibri" w:hAnsi="Calibri" w:cs="Calibri"/>
          <w:b/>
          <w:u w:val="single"/>
        </w:rPr>
        <w:t>Version Control</w:t>
      </w:r>
    </w:p>
    <w:p w14:paraId="68815E41">
      <w:pPr>
        <w:pStyle w:val="22"/>
        <w:jc w:val="center"/>
        <w:rPr>
          <w:rFonts w:hint="default" w:ascii="Calibri" w:hAnsi="Calibri" w:cs="Calibri"/>
          <w:b/>
          <w:u w:val="single"/>
        </w:rPr>
      </w:pPr>
    </w:p>
    <w:tbl>
      <w:tblPr>
        <w:tblStyle w:val="17"/>
        <w:tblW w:w="9978"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15"/>
        <w:gridCol w:w="2121"/>
        <w:gridCol w:w="4142"/>
      </w:tblGrid>
      <w:tr w14:paraId="571F35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6" w:hRule="atLeast"/>
        </w:trPr>
        <w:tc>
          <w:tcPr>
            <w:tcW w:w="3715" w:type="dxa"/>
          </w:tcPr>
          <w:p w14:paraId="4609C000">
            <w:pPr>
              <w:pStyle w:val="22"/>
              <w:spacing w:before="240"/>
              <w:jc w:val="both"/>
              <w:rPr>
                <w:rFonts w:hint="default" w:ascii="Calibri" w:hAnsi="Calibri" w:cs="Calibri"/>
                <w:b/>
              </w:rPr>
            </w:pPr>
            <w:r>
              <w:rPr>
                <w:rFonts w:hint="default" w:ascii="Calibri" w:hAnsi="Calibri" w:cs="Calibri"/>
                <w:b/>
              </w:rPr>
              <w:t>Version</w:t>
            </w:r>
          </w:p>
        </w:tc>
        <w:tc>
          <w:tcPr>
            <w:tcW w:w="2121" w:type="dxa"/>
          </w:tcPr>
          <w:p w14:paraId="7F179869">
            <w:pPr>
              <w:pStyle w:val="22"/>
              <w:spacing w:before="240"/>
              <w:jc w:val="both"/>
              <w:rPr>
                <w:rFonts w:hint="default" w:ascii="Calibri" w:hAnsi="Calibri" w:cs="Calibri"/>
                <w:b/>
              </w:rPr>
            </w:pPr>
            <w:r>
              <w:rPr>
                <w:rFonts w:hint="default" w:ascii="Calibri" w:hAnsi="Calibri" w:cs="Calibri"/>
                <w:b/>
              </w:rPr>
              <w:t>Date</w:t>
            </w:r>
          </w:p>
        </w:tc>
        <w:tc>
          <w:tcPr>
            <w:tcW w:w="4142" w:type="dxa"/>
          </w:tcPr>
          <w:p w14:paraId="473F013C">
            <w:pPr>
              <w:pStyle w:val="22"/>
              <w:spacing w:before="240"/>
              <w:jc w:val="both"/>
              <w:rPr>
                <w:rFonts w:hint="default" w:ascii="Calibri" w:hAnsi="Calibri" w:cs="Calibri"/>
                <w:b/>
              </w:rPr>
            </w:pPr>
            <w:r>
              <w:rPr>
                <w:rFonts w:hint="default" w:ascii="Calibri" w:hAnsi="Calibri" w:cs="Calibri"/>
                <w:b/>
              </w:rPr>
              <w:t>Description</w:t>
            </w:r>
          </w:p>
        </w:tc>
      </w:tr>
      <w:tr w14:paraId="66E952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4" w:hRule="atLeast"/>
        </w:trPr>
        <w:tc>
          <w:tcPr>
            <w:tcW w:w="3715" w:type="dxa"/>
          </w:tcPr>
          <w:p w14:paraId="636120D1">
            <w:pPr>
              <w:pStyle w:val="22"/>
              <w:spacing w:before="240"/>
              <w:jc w:val="both"/>
              <w:rPr>
                <w:rFonts w:hint="default" w:ascii="Calibri" w:hAnsi="Calibri" w:cs="Calibri"/>
              </w:rPr>
            </w:pPr>
            <w:r>
              <w:rPr>
                <w:rFonts w:hint="default" w:ascii="Calibri" w:hAnsi="Calibri" w:cs="Calibri"/>
              </w:rPr>
              <w:t>1.0</w:t>
            </w:r>
          </w:p>
        </w:tc>
        <w:tc>
          <w:tcPr>
            <w:tcW w:w="2121" w:type="dxa"/>
          </w:tcPr>
          <w:p w14:paraId="2034D61B">
            <w:pPr>
              <w:pStyle w:val="22"/>
              <w:spacing w:before="240"/>
              <w:jc w:val="both"/>
              <w:rPr>
                <w:rFonts w:hint="default" w:ascii="Calibri" w:hAnsi="Calibri" w:cs="Calibri"/>
                <w:lang w:val="en-US"/>
              </w:rPr>
            </w:pPr>
            <w:r>
              <w:rPr>
                <w:rFonts w:hint="default" w:ascii="Calibri" w:hAnsi="Calibri" w:cs="Calibri"/>
                <w:lang w:val="en-US"/>
              </w:rPr>
              <w:t>April 2026</w:t>
            </w:r>
          </w:p>
        </w:tc>
        <w:tc>
          <w:tcPr>
            <w:tcW w:w="4142" w:type="dxa"/>
          </w:tcPr>
          <w:p w14:paraId="26069E08">
            <w:pPr>
              <w:pStyle w:val="22"/>
              <w:spacing w:before="240"/>
              <w:jc w:val="both"/>
              <w:rPr>
                <w:rFonts w:hint="default" w:ascii="Calibri" w:hAnsi="Calibri" w:cs="Calibri"/>
              </w:rPr>
            </w:pPr>
            <w:r>
              <w:rPr>
                <w:rFonts w:hint="default" w:ascii="Calibri" w:hAnsi="Calibri" w:cs="Calibri"/>
              </w:rPr>
              <w:t>Initial draft for internal review</w:t>
            </w:r>
          </w:p>
        </w:tc>
      </w:tr>
      <w:tr w14:paraId="1C8DC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5" w:hRule="atLeast"/>
        </w:trPr>
        <w:tc>
          <w:tcPr>
            <w:tcW w:w="3715" w:type="dxa"/>
          </w:tcPr>
          <w:p w14:paraId="2015926A">
            <w:pPr>
              <w:pStyle w:val="22"/>
              <w:spacing w:before="240"/>
              <w:jc w:val="both"/>
              <w:rPr>
                <w:rFonts w:hint="default" w:ascii="Calibri" w:hAnsi="Calibri" w:cs="Calibri"/>
              </w:rPr>
            </w:pPr>
            <w:bookmarkStart w:id="13" w:name="_GoBack"/>
            <w:bookmarkEnd w:id="13"/>
          </w:p>
        </w:tc>
        <w:tc>
          <w:tcPr>
            <w:tcW w:w="2121" w:type="dxa"/>
          </w:tcPr>
          <w:p w14:paraId="769E9EA2">
            <w:pPr>
              <w:pStyle w:val="22"/>
              <w:spacing w:before="240"/>
              <w:jc w:val="both"/>
              <w:rPr>
                <w:rFonts w:hint="default" w:ascii="Calibri" w:hAnsi="Calibri" w:cs="Calibri"/>
              </w:rPr>
            </w:pPr>
          </w:p>
        </w:tc>
        <w:tc>
          <w:tcPr>
            <w:tcW w:w="4142" w:type="dxa"/>
          </w:tcPr>
          <w:p w14:paraId="3E389A8C">
            <w:pPr>
              <w:pStyle w:val="22"/>
              <w:spacing w:before="240"/>
              <w:jc w:val="both"/>
              <w:rPr>
                <w:rFonts w:hint="default" w:ascii="Calibri" w:hAnsi="Calibri" w:cs="Calibri"/>
              </w:rPr>
            </w:pPr>
          </w:p>
        </w:tc>
      </w:tr>
    </w:tbl>
    <w:p w14:paraId="6243DC2E">
      <w:pPr>
        <w:jc w:val="both"/>
        <w:rPr>
          <w:rFonts w:hint="default" w:ascii="Calibri" w:hAnsi="Calibri" w:cs="Calibri"/>
          <w:b/>
          <w:lang w:eastAsia="en-GB"/>
        </w:rPr>
      </w:pPr>
    </w:p>
    <w:p w14:paraId="6062AA66">
      <w:pPr>
        <w:jc w:val="both"/>
        <w:rPr>
          <w:rFonts w:hint="default" w:ascii="Calibri" w:hAnsi="Calibri" w:cs="Calibri"/>
          <w:b/>
        </w:rPr>
      </w:pPr>
    </w:p>
    <w:p w14:paraId="442FF527">
      <w:pPr>
        <w:pStyle w:val="15"/>
        <w:spacing w:line="480" w:lineRule="auto"/>
        <w:jc w:val="both"/>
        <w:rPr>
          <w:rFonts w:hint="default" w:ascii="Calibri" w:hAnsi="Calibri" w:cs="Calibri"/>
          <w:b w:val="0"/>
          <w:bCs/>
          <w:sz w:val="22"/>
          <w:szCs w:val="22"/>
        </w:rPr>
      </w:pPr>
      <w:r>
        <w:rPr>
          <w:rFonts w:hint="default" w:ascii="Calibri" w:hAnsi="Calibri" w:cs="Calibri"/>
          <w:b w:val="0"/>
          <w:bCs/>
          <w:sz w:val="22"/>
          <w:szCs w:val="22"/>
        </w:rPr>
        <w:t>Remember to change the Version number on the title page when any changes to this document</w:t>
      </w:r>
      <w:r>
        <w:rPr>
          <w:rFonts w:hint="default" w:ascii="Calibri" w:hAnsi="Calibri" w:cs="Calibri"/>
          <w:b w:val="0"/>
          <w:bCs/>
          <w:sz w:val="22"/>
          <w:szCs w:val="22"/>
          <w:lang w:val="en-US"/>
        </w:rPr>
        <w:t xml:space="preserve"> </w:t>
      </w:r>
      <w:r>
        <w:rPr>
          <w:rFonts w:hint="default" w:ascii="Calibri" w:hAnsi="Calibri" w:cs="Calibri"/>
          <w:b w:val="0"/>
          <w:bCs/>
          <w:sz w:val="22"/>
          <w:szCs w:val="22"/>
        </w:rPr>
        <w:t>occurred.</w:t>
      </w:r>
    </w:p>
    <w:p w14:paraId="375FC6B9">
      <w:pPr>
        <w:rPr>
          <w:rFonts w:hint="default"/>
          <w:color w:val="000000"/>
          <w:sz w:val="32"/>
          <w:szCs w:val="32"/>
          <w:rtl w:val="0"/>
          <w:lang w:val="en-US"/>
        </w:rPr>
      </w:pPr>
      <w:r>
        <w:rPr>
          <w:rStyle w:val="16"/>
          <w:rFonts w:hint="default" w:ascii="Calibri" w:hAnsi="Calibri" w:cs="Calibri"/>
        </w:rPr>
        <w:br w:type="page"/>
      </w:r>
    </w:p>
    <w:p w14:paraId="4A25160E">
      <w:pPr>
        <w:pStyle w:val="2"/>
        <w:bidi w:val="0"/>
        <w:spacing w:before="480" w:after="120"/>
      </w:pPr>
      <w:r>
        <w:rPr>
          <w:color w:val="000000"/>
          <w:sz w:val="32"/>
          <w:szCs w:val="32"/>
          <w:rtl w:val="0"/>
        </w:rPr>
        <w:t>Konn3ct Network and Infrastructure Configuration (Detailed)</w:t>
      </w:r>
      <w:bookmarkEnd w:id="0"/>
    </w:p>
    <w:p w14:paraId="427273E2">
      <w:pPr>
        <w:bidi w:val="0"/>
        <w:spacing w:before="240" w:after="240" w:line="276" w:lineRule="auto"/>
        <w:jc w:val="left"/>
      </w:pPr>
      <w:r>
        <w:rPr>
          <w:color w:val="000000"/>
          <w:sz w:val="24"/>
          <w:szCs w:val="24"/>
          <w:rtl w:val="0"/>
        </w:rPr>
        <w:t>This document outlines the network architecture, required load balancers, firewall configurations, and detailed traffic flows for the Konn3ct platform. This is designed for Network Engineers, DevOps, and SREs to fully understand the networking requirements, specifically focusing on the WebRTC media (UDP) aspects.</w:t>
      </w:r>
    </w:p>
    <w:p w14:paraId="7D9FA4B4">
      <w:pPr>
        <w:pStyle w:val="3"/>
        <w:bidi w:val="0"/>
        <w:spacing w:before="240" w:after="120"/>
      </w:pPr>
      <w:bookmarkStart w:id="1" w:name="_Toc__1_HighLevel_Traffic_Flow_Architecture_2"/>
      <w:r>
        <w:rPr>
          <w:color w:val="000000"/>
          <w:sz w:val="28"/>
          <w:szCs w:val="28"/>
          <w:rtl w:val="0"/>
        </w:rPr>
        <w:t>1. High-Level Traffic Flow Architecture</w:t>
      </w:r>
      <w:bookmarkEnd w:id="1"/>
    </w:p>
    <w:p w14:paraId="767C29A0">
      <w:pPr>
        <w:bidi w:val="0"/>
        <w:spacing w:before="240" w:after="240" w:line="276" w:lineRule="auto"/>
        <w:jc w:val="left"/>
        <w:rPr>
          <w:color w:val="000000"/>
          <w:sz w:val="24"/>
          <w:szCs w:val="24"/>
          <w:rtl w:val="0"/>
        </w:rPr>
      </w:pPr>
      <w:r>
        <w:rPr>
          <w:color w:val="000000"/>
          <w:sz w:val="24"/>
          <w:szCs w:val="24"/>
          <w:rtl w:val="0"/>
        </w:rPr>
        <w:t xml:space="preserve">The Konn3ct platform separates </w:t>
      </w:r>
      <w:r>
        <w:rPr>
          <w:b/>
          <w:bCs/>
          <w:color w:val="000000"/>
          <w:sz w:val="24"/>
          <w:szCs w:val="24"/>
          <w:rtl w:val="0"/>
        </w:rPr>
        <w:t>Signaling Traffic (TCP/WebSockets)</w:t>
      </w:r>
      <w:r>
        <w:rPr>
          <w:color w:val="000000"/>
          <w:sz w:val="24"/>
          <w:szCs w:val="24"/>
          <w:rtl w:val="0"/>
        </w:rPr>
        <w:t xml:space="preserve"> from </w:t>
      </w:r>
      <w:r>
        <w:rPr>
          <w:b/>
          <w:bCs/>
          <w:color w:val="000000"/>
          <w:sz w:val="24"/>
          <w:szCs w:val="24"/>
          <w:rtl w:val="0"/>
        </w:rPr>
        <w:t>Media Traffic (UDP/WebRTC)</w:t>
      </w:r>
      <w:r>
        <w:rPr>
          <w:color w:val="000000"/>
          <w:sz w:val="24"/>
          <w:szCs w:val="24"/>
          <w:rtl w:val="0"/>
        </w:rPr>
        <w:t xml:space="preserve"> at the network level to ensure low latency and high throughput for video and audio.</w:t>
      </w:r>
    </w:p>
    <w:p w14:paraId="158943B4">
      <w:pPr>
        <w:bidi w:val="0"/>
        <w:spacing w:before="240" w:after="240" w:line="276" w:lineRule="auto"/>
        <w:jc w:val="left"/>
        <w:rPr>
          <w:color w:val="000000"/>
          <w:sz w:val="24"/>
          <w:szCs w:val="24"/>
          <w:rtl w:val="0"/>
        </w:rPr>
      </w:pPr>
      <w:r>
        <w:drawing>
          <wp:inline distT="0" distB="0" distL="114300" distR="114300">
            <wp:extent cx="6182995" cy="5285740"/>
            <wp:effectExtent l="0" t="0" r="4445"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6182995" cy="5285740"/>
                    </a:xfrm>
                    <a:prstGeom prst="rect">
                      <a:avLst/>
                    </a:prstGeom>
                    <a:noFill/>
                    <a:ln>
                      <a:noFill/>
                    </a:ln>
                  </pic:spPr>
                </pic:pic>
              </a:graphicData>
            </a:graphic>
          </wp:inline>
        </w:drawing>
      </w:r>
    </w:p>
    <w:p w14:paraId="18D0C4F1">
      <w:pPr>
        <w:pStyle w:val="3"/>
        <w:bidi w:val="0"/>
        <w:spacing w:before="240" w:after="120"/>
        <w:rPr>
          <w:color w:val="000000"/>
          <w:sz w:val="28"/>
          <w:szCs w:val="28"/>
          <w:rtl w:val="0"/>
        </w:rPr>
      </w:pPr>
      <w:bookmarkStart w:id="2" w:name="_Toc__2_WebRTC_Media_Routing_Details_Mediasou_3"/>
    </w:p>
    <w:p w14:paraId="59379CE8">
      <w:pPr>
        <w:pStyle w:val="3"/>
        <w:bidi w:val="0"/>
        <w:spacing w:before="240" w:after="120"/>
        <w:rPr>
          <w:color w:val="000000"/>
          <w:sz w:val="28"/>
          <w:szCs w:val="28"/>
          <w:rtl w:val="0"/>
        </w:rPr>
      </w:pPr>
    </w:p>
    <w:p w14:paraId="303D1705">
      <w:pPr>
        <w:pStyle w:val="3"/>
        <w:bidi w:val="0"/>
        <w:spacing w:before="240" w:after="120"/>
        <w:rPr>
          <w:color w:val="000000"/>
          <w:sz w:val="28"/>
          <w:szCs w:val="28"/>
          <w:rtl w:val="0"/>
        </w:rPr>
      </w:pPr>
    </w:p>
    <w:p w14:paraId="0BC962A1">
      <w:pPr>
        <w:pStyle w:val="3"/>
        <w:bidi w:val="0"/>
        <w:spacing w:before="240" w:after="120"/>
      </w:pPr>
      <w:r>
        <w:rPr>
          <w:color w:val="000000"/>
          <w:sz w:val="28"/>
          <w:szCs w:val="28"/>
          <w:rtl w:val="0"/>
        </w:rPr>
        <w:t>2. WebRTC &amp; Media Routing Details (Mediasoup)</w:t>
      </w:r>
      <w:bookmarkEnd w:id="2"/>
    </w:p>
    <w:p w14:paraId="42CA3B75">
      <w:pPr>
        <w:bidi w:val="0"/>
        <w:spacing w:before="240" w:after="240" w:line="276" w:lineRule="auto"/>
        <w:jc w:val="left"/>
      </w:pPr>
      <w:r>
        <w:rPr>
          <w:color w:val="000000"/>
          <w:sz w:val="24"/>
          <w:szCs w:val="24"/>
          <w:rtl w:val="0"/>
        </w:rPr>
        <w:t xml:space="preserve">WebRTC media routing is the most critical networking component. Konn3ct uses </w:t>
      </w:r>
      <w:r>
        <w:rPr>
          <w:b/>
          <w:bCs/>
          <w:color w:val="000000"/>
          <w:sz w:val="24"/>
          <w:szCs w:val="24"/>
          <w:rtl w:val="0"/>
        </w:rPr>
        <w:t>Mediasoup</w:t>
      </w:r>
      <w:r>
        <w:rPr>
          <w:color w:val="000000"/>
          <w:sz w:val="24"/>
          <w:szCs w:val="24"/>
          <w:rtl w:val="0"/>
        </w:rPr>
        <w:t xml:space="preserve">, which runs as a C++ worker process inside the </w:t>
      </w:r>
      <w:r>
        <w:rPr>
          <w:rFonts w:ascii="Courier New" w:hAnsi="Courier New" w:eastAsia="Courier New" w:cs="Courier New"/>
          <w:color w:val="444444"/>
          <w:sz w:val="20"/>
          <w:szCs w:val="20"/>
          <w:shd w:val="clear" w:fill="F5F5F5"/>
          <w:rtl w:val="0"/>
        </w:rPr>
        <w:t>conn3ct-backend</w:t>
      </w:r>
      <w:r>
        <w:rPr>
          <w:color w:val="000000"/>
          <w:sz w:val="24"/>
          <w:szCs w:val="24"/>
          <w:rtl w:val="0"/>
        </w:rPr>
        <w:t xml:space="preserve"> pods.</w:t>
      </w:r>
    </w:p>
    <w:p w14:paraId="362C1065">
      <w:pPr>
        <w:pStyle w:val="4"/>
        <w:bidi w:val="0"/>
        <w:spacing w:before="240" w:after="120"/>
      </w:pPr>
      <w:bookmarkStart w:id="3" w:name="_Toc_Host_Network_Optimization_4"/>
      <w:r>
        <w:rPr>
          <w:color w:val="000000"/>
          <w:sz w:val="24"/>
          <w:szCs w:val="24"/>
          <w:rtl w:val="0"/>
        </w:rPr>
        <w:t>Host Network Optimization</w:t>
      </w:r>
      <w:bookmarkEnd w:id="3"/>
    </w:p>
    <w:p w14:paraId="593FFA15">
      <w:pPr>
        <w:pStyle w:val="19"/>
        <w:numPr>
          <w:ilvl w:val="0"/>
          <w:numId w:val="1"/>
        </w:numPr>
        <w:bidi w:val="0"/>
        <w:spacing w:before="120" w:after="120"/>
      </w:pPr>
      <w:r>
        <w:rPr>
          <w:rFonts w:ascii="Courier New" w:hAnsi="Courier New" w:eastAsia="Courier New" w:cs="Courier New"/>
          <w:color w:val="444444"/>
          <w:sz w:val="24"/>
          <w:szCs w:val="24"/>
          <w:shd w:val="clear" w:fill="F5F5F5"/>
          <w:rtl w:val="0"/>
        </w:rPr>
        <w:t>hostNetwork: true</w:t>
      </w:r>
      <w:r>
        <w:rPr>
          <w:color w:val="000000"/>
          <w:sz w:val="24"/>
          <w:szCs w:val="24"/>
          <w:rtl w:val="0"/>
        </w:rPr>
        <w:t xml:space="preserve">: The </w:t>
      </w:r>
      <w:r>
        <w:rPr>
          <w:rFonts w:ascii="Courier New" w:hAnsi="Courier New" w:eastAsia="Courier New" w:cs="Courier New"/>
          <w:color w:val="444444"/>
          <w:sz w:val="24"/>
          <w:szCs w:val="24"/>
          <w:shd w:val="clear" w:fill="F5F5F5"/>
          <w:rtl w:val="0"/>
        </w:rPr>
        <w:t>conn3ct-backend</w:t>
      </w:r>
      <w:r>
        <w:rPr>
          <w:color w:val="000000"/>
          <w:sz w:val="24"/>
          <w:szCs w:val="24"/>
          <w:rtl w:val="0"/>
        </w:rPr>
        <w:t xml:space="preserve"> deployment runs on the Kubernetes host network.</w:t>
      </w:r>
    </w:p>
    <w:p w14:paraId="63B89DA6">
      <w:pPr>
        <w:pStyle w:val="19"/>
        <w:numPr>
          <w:ilvl w:val="0"/>
          <w:numId w:val="1"/>
        </w:numPr>
        <w:bidi w:val="0"/>
        <w:spacing w:before="120" w:after="120"/>
      </w:pPr>
      <w:r>
        <w:rPr>
          <w:b/>
          <w:bCs/>
          <w:color w:val="000000"/>
          <w:sz w:val="24"/>
          <w:szCs w:val="24"/>
          <w:rtl w:val="0"/>
        </w:rPr>
        <w:t>Why?</w:t>
      </w:r>
      <w:r>
        <w:rPr>
          <w:color w:val="000000"/>
          <w:sz w:val="24"/>
          <w:szCs w:val="24"/>
          <w:rtl w:val="0"/>
        </w:rPr>
        <w:t xml:space="preserve"> This allows Mediasoup to bind directly to the Node's network interfaces. It bypasses the Kubernetes CNI (like Flannel or Calico) and </w:t>
      </w:r>
      <w:r>
        <w:rPr>
          <w:rFonts w:ascii="Courier New" w:hAnsi="Courier New" w:eastAsia="Courier New" w:cs="Courier New"/>
          <w:color w:val="444444"/>
          <w:sz w:val="24"/>
          <w:szCs w:val="24"/>
          <w:shd w:val="clear" w:fill="F5F5F5"/>
          <w:rtl w:val="0"/>
        </w:rPr>
        <w:t>kube-proxy</w:t>
      </w:r>
      <w:r>
        <w:rPr>
          <w:color w:val="000000"/>
          <w:sz w:val="24"/>
          <w:szCs w:val="24"/>
          <w:rtl w:val="0"/>
        </w:rPr>
        <w:t xml:space="preserve"> NAT. This reduces CPU overhead, eliminates NAT translation delays, and allows the Mediasoup worker to directly report the Node's external IP to connecting clients via SDP offers.</w:t>
      </w:r>
    </w:p>
    <w:p w14:paraId="795F5CF7">
      <w:pPr>
        <w:pStyle w:val="4"/>
        <w:bidi w:val="0"/>
        <w:spacing w:before="240" w:after="120"/>
      </w:pPr>
      <w:bookmarkStart w:id="4" w:name="_Toc_IP_and_Port_Assignments_5"/>
      <w:r>
        <w:rPr>
          <w:color w:val="000000"/>
          <w:sz w:val="24"/>
          <w:szCs w:val="24"/>
          <w:rtl w:val="0"/>
        </w:rPr>
        <w:t>IP and Port Assignments</w:t>
      </w:r>
      <w:bookmarkEnd w:id="4"/>
    </w:p>
    <w:p w14:paraId="2C7C255B">
      <w:pPr>
        <w:pStyle w:val="19"/>
        <w:numPr>
          <w:ilvl w:val="0"/>
          <w:numId w:val="1"/>
        </w:numPr>
        <w:bidi w:val="0"/>
        <w:spacing w:before="120" w:after="120"/>
      </w:pPr>
      <w:r>
        <w:rPr>
          <w:b/>
          <w:bCs/>
          <w:color w:val="000000"/>
          <w:sz w:val="24"/>
          <w:szCs w:val="24"/>
          <w:rtl w:val="0"/>
        </w:rPr>
        <w:t>Listen IP (</w:t>
      </w:r>
      <w:r>
        <w:rPr>
          <w:rFonts w:ascii="Courier New" w:hAnsi="Courier New" w:eastAsia="Courier New" w:cs="Courier New"/>
          <w:color w:val="444444"/>
          <w:sz w:val="24"/>
          <w:szCs w:val="24"/>
          <w:shd w:val="clear" w:fill="F5F5F5"/>
          <w:rtl w:val="0"/>
        </w:rPr>
        <w:t>WEBRTC_LISTEN_IP</w:t>
      </w:r>
      <w:r>
        <w:rPr>
          <w:b/>
          <w:bCs/>
          <w:color w:val="000000"/>
          <w:sz w:val="24"/>
          <w:szCs w:val="24"/>
          <w:rtl w:val="0"/>
        </w:rPr>
        <w:t>)</w:t>
      </w:r>
      <w:r>
        <w:rPr>
          <w:color w:val="000000"/>
          <w:sz w:val="24"/>
          <w:szCs w:val="24"/>
          <w:rtl w:val="0"/>
        </w:rPr>
        <w:t xml:space="preserve">: </w:t>
      </w:r>
      <w:r>
        <w:rPr>
          <w:rFonts w:ascii="Courier New" w:hAnsi="Courier New" w:eastAsia="Courier New" w:cs="Courier New"/>
          <w:color w:val="444444"/>
          <w:sz w:val="24"/>
          <w:szCs w:val="24"/>
          <w:shd w:val="clear" w:fill="F5F5F5"/>
          <w:rtl w:val="0"/>
        </w:rPr>
        <w:t>0.0.0.0</w:t>
      </w:r>
      <w:r>
        <w:rPr>
          <w:color w:val="000000"/>
          <w:sz w:val="24"/>
          <w:szCs w:val="24"/>
          <w:rtl w:val="0"/>
        </w:rPr>
        <w:t xml:space="preserve"> (Binds to all interfaces on the node).</w:t>
      </w:r>
    </w:p>
    <w:p w14:paraId="05ACF5C6">
      <w:pPr>
        <w:pStyle w:val="19"/>
        <w:numPr>
          <w:ilvl w:val="0"/>
          <w:numId w:val="1"/>
        </w:numPr>
        <w:bidi w:val="0"/>
        <w:spacing w:before="120" w:after="120"/>
      </w:pPr>
      <w:r>
        <w:rPr>
          <w:b/>
          <w:bCs/>
          <w:color w:val="000000"/>
          <w:sz w:val="24"/>
          <w:szCs w:val="24"/>
          <w:rtl w:val="0"/>
        </w:rPr>
        <w:t>Announced IP (</w:t>
      </w:r>
      <w:r>
        <w:rPr>
          <w:rFonts w:ascii="Courier New" w:hAnsi="Courier New" w:eastAsia="Courier New" w:cs="Courier New"/>
          <w:color w:val="444444"/>
          <w:sz w:val="24"/>
          <w:szCs w:val="24"/>
          <w:shd w:val="clear" w:fill="F5F5F5"/>
          <w:rtl w:val="0"/>
        </w:rPr>
        <w:t>WEBRTC_ANNOUNCED_IP</w:t>
      </w:r>
      <w:r>
        <w:rPr>
          <w:b/>
          <w:bCs/>
          <w:color w:val="000000"/>
          <w:sz w:val="24"/>
          <w:szCs w:val="24"/>
          <w:rtl w:val="0"/>
        </w:rPr>
        <w:t>)</w:t>
      </w:r>
      <w:r>
        <w:rPr>
          <w:color w:val="000000"/>
          <w:sz w:val="24"/>
          <w:szCs w:val="24"/>
          <w:rtl w:val="0"/>
        </w:rPr>
        <w:t xml:space="preserve">: Injected via </w:t>
      </w:r>
      <w:r>
        <w:rPr>
          <w:rFonts w:ascii="Courier New" w:hAnsi="Courier New" w:eastAsia="Courier New" w:cs="Courier New"/>
          <w:color w:val="444444"/>
          <w:sz w:val="24"/>
          <w:szCs w:val="24"/>
          <w:shd w:val="clear" w:fill="F5F5F5"/>
          <w:rtl w:val="0"/>
        </w:rPr>
        <w:t>status.hostIP</w:t>
      </w:r>
      <w:r>
        <w:rPr>
          <w:color w:val="000000"/>
          <w:sz w:val="24"/>
          <w:szCs w:val="24"/>
          <w:rtl w:val="0"/>
        </w:rPr>
        <w:t xml:space="preserve"> via the Kubernetes Downward API. This MUST be the public IP of the worker node so that clients over the internet can route UDP packets back to it.</w:t>
      </w:r>
    </w:p>
    <w:p w14:paraId="0CE1F6ED">
      <w:pPr>
        <w:pStyle w:val="19"/>
        <w:numPr>
          <w:ilvl w:val="0"/>
          <w:numId w:val="1"/>
        </w:numPr>
        <w:bidi w:val="0"/>
        <w:spacing w:before="120" w:after="120"/>
      </w:pPr>
      <w:r>
        <w:rPr>
          <w:b/>
          <w:bCs/>
          <w:color w:val="000000"/>
          <w:sz w:val="24"/>
          <w:szCs w:val="24"/>
          <w:rtl w:val="0"/>
        </w:rPr>
        <w:t>Port Range</w:t>
      </w:r>
      <w:r>
        <w:rPr>
          <w:color w:val="000000"/>
          <w:sz w:val="24"/>
          <w:szCs w:val="24"/>
          <w:rtl w:val="0"/>
        </w:rPr>
        <w:t xml:space="preserve">: </w:t>
      </w:r>
      <w:r>
        <w:rPr>
          <w:rFonts w:ascii="Courier New" w:hAnsi="Courier New" w:eastAsia="Courier New" w:cs="Courier New"/>
          <w:color w:val="444444"/>
          <w:sz w:val="24"/>
          <w:szCs w:val="24"/>
          <w:shd w:val="clear" w:fill="F5F5F5"/>
          <w:rtl w:val="0"/>
        </w:rPr>
        <w:t>10000 - 20000</w:t>
      </w:r>
      <w:r>
        <w:rPr>
          <w:color w:val="000000"/>
          <w:sz w:val="24"/>
          <w:szCs w:val="24"/>
          <w:rtl w:val="0"/>
        </w:rPr>
        <w:t xml:space="preserve"> (UDP). Each new video/audio track dynamically allocates a port from this range.</w:t>
      </w:r>
    </w:p>
    <w:p w14:paraId="245003E7">
      <w:pPr>
        <w:pStyle w:val="4"/>
        <w:bidi w:val="0"/>
        <w:spacing w:before="240" w:after="120"/>
      </w:pPr>
      <w:bookmarkStart w:id="5" w:name="_Toc_STUN_TURN_Fallback_6"/>
      <w:r>
        <w:rPr>
          <w:color w:val="000000"/>
          <w:sz w:val="24"/>
          <w:szCs w:val="24"/>
          <w:rtl w:val="0"/>
        </w:rPr>
        <w:t>STUN / TURN Fallback</w:t>
      </w:r>
      <w:bookmarkEnd w:id="5"/>
    </w:p>
    <w:p w14:paraId="691590E3">
      <w:pPr>
        <w:bidi w:val="0"/>
        <w:spacing w:before="240" w:after="240" w:line="276" w:lineRule="auto"/>
        <w:jc w:val="left"/>
      </w:pPr>
      <w:r>
        <w:rPr>
          <w:color w:val="000000"/>
          <w:sz w:val="24"/>
          <w:szCs w:val="24"/>
          <w:rtl w:val="0"/>
        </w:rPr>
        <w:t>For clients behind strict corporate firewalls or symmetric NATs that block outbound UDP, Konn3ct uses an external TURN server:</w:t>
      </w:r>
    </w:p>
    <w:p w14:paraId="27D6E921">
      <w:pPr>
        <w:pStyle w:val="19"/>
        <w:numPr>
          <w:ilvl w:val="0"/>
          <w:numId w:val="1"/>
        </w:numPr>
        <w:bidi w:val="0"/>
        <w:spacing w:before="120" w:after="120"/>
      </w:pPr>
      <w:r>
        <w:rPr>
          <w:b/>
          <w:bCs/>
          <w:color w:val="000000"/>
          <w:sz w:val="24"/>
          <w:szCs w:val="24"/>
          <w:rtl w:val="0"/>
        </w:rPr>
        <w:t>TURN Domain</w:t>
      </w:r>
      <w:r>
        <w:rPr>
          <w:color w:val="000000"/>
          <w:sz w:val="24"/>
          <w:szCs w:val="24"/>
          <w:rtl w:val="0"/>
        </w:rPr>
        <w:t xml:space="preserve">: </w:t>
      </w:r>
      <w:r>
        <w:rPr>
          <w:rFonts w:ascii="Courier New" w:hAnsi="Courier New" w:eastAsia="Courier New" w:cs="Courier New"/>
          <w:color w:val="444444"/>
          <w:sz w:val="24"/>
          <w:szCs w:val="24"/>
          <w:shd w:val="clear" w:fill="F5F5F5"/>
          <w:rtl w:val="0"/>
        </w:rPr>
        <w:t>turnedge.konn3ct.net</w:t>
      </w:r>
    </w:p>
    <w:p w14:paraId="5B404CA2">
      <w:pPr>
        <w:pStyle w:val="19"/>
        <w:numPr>
          <w:ilvl w:val="0"/>
          <w:numId w:val="1"/>
        </w:numPr>
        <w:bidi w:val="0"/>
        <w:spacing w:before="120" w:after="120"/>
      </w:pPr>
      <w:r>
        <w:rPr>
          <w:color w:val="000000"/>
          <w:sz w:val="24"/>
          <w:szCs w:val="24"/>
          <w:rtl w:val="0"/>
        </w:rPr>
        <w:t>If direct UDP to the worker node fails, the client browser will automatically establish a connection to the TURN server, which will relay traffic to the worker node's UDP ports.</w:t>
      </w:r>
    </w:p>
    <w:p w14:paraId="21A34C19">
      <w:pPr>
        <w:pBdr>
          <w:left w:val="single" w:color="BF8700" w:sz="2" w:space="0"/>
        </w:pBdr>
        <w:shd w:val="clear" w:fill="FFF8C5"/>
        <w:bidi w:val="0"/>
        <w:spacing w:before="240" w:after="240"/>
        <w:ind w:left="720"/>
      </w:pPr>
      <w:r>
        <w:rPr>
          <w:b/>
          <w:bCs/>
          <w:color w:val="9A6700"/>
          <w:sz w:val="24"/>
          <w:szCs w:val="24"/>
          <w:rtl w:val="0"/>
        </w:rPr>
        <w:t>Warning</w:t>
      </w:r>
    </w:p>
    <w:p w14:paraId="3667959B">
      <w:pPr>
        <w:pBdr>
          <w:left w:val="single" w:color="BF8700" w:sz="2" w:space="0"/>
        </w:pBdr>
        <w:shd w:val="clear" w:fill="FFF8C5"/>
        <w:bidi w:val="0"/>
        <w:spacing w:before="240" w:after="240"/>
        <w:ind w:left="720"/>
      </w:pPr>
      <w:r>
        <w:rPr>
          <w:b/>
          <w:bCs/>
          <w:color w:val="000000"/>
          <w:sz w:val="24"/>
          <w:szCs w:val="24"/>
          <w:rtl w:val="0"/>
        </w:rPr>
        <w:t>Scaling Constraint (Port Conflicts):</w:t>
      </w:r>
      <w:r>
        <w:rPr>
          <w:color w:val="000000"/>
          <w:sz w:val="24"/>
          <w:szCs w:val="24"/>
          <w:rtl w:val="0"/>
        </w:rPr>
        <w:t xml:space="preserve"> Because </w:t>
      </w:r>
      <w:r>
        <w:rPr>
          <w:rFonts w:ascii="Courier New" w:hAnsi="Courier New" w:eastAsia="Courier New" w:cs="Courier New"/>
          <w:color w:val="444444"/>
          <w:sz w:val="24"/>
          <w:szCs w:val="24"/>
          <w:shd w:val="clear" w:fill="F5F5F5"/>
          <w:rtl w:val="0"/>
        </w:rPr>
        <w:t>hostNetwork: true</w:t>
      </w:r>
      <w:r>
        <w:rPr>
          <w:color w:val="000000"/>
          <w:sz w:val="24"/>
          <w:szCs w:val="24"/>
          <w:rtl w:val="0"/>
        </w:rPr>
        <w:t xml:space="preserve"> is enabled, the backend pod binds its HTTP server directly to TCP </w:t>
      </w:r>
      <w:r>
        <w:rPr>
          <w:rFonts w:ascii="Courier New" w:hAnsi="Courier New" w:eastAsia="Courier New" w:cs="Courier New"/>
          <w:color w:val="444444"/>
          <w:sz w:val="24"/>
          <w:szCs w:val="24"/>
          <w:shd w:val="clear" w:fill="F5F5F5"/>
          <w:rtl w:val="0"/>
        </w:rPr>
        <w:t>3000</w:t>
      </w:r>
      <w:r>
        <w:rPr>
          <w:color w:val="000000"/>
          <w:sz w:val="24"/>
          <w:szCs w:val="24"/>
          <w:rtl w:val="0"/>
        </w:rPr>
        <w:t xml:space="preserve"> on the worker node. Therefore, </w:t>
      </w:r>
      <w:r>
        <w:rPr>
          <w:b/>
          <w:bCs/>
          <w:color w:val="000000"/>
          <w:sz w:val="24"/>
          <w:szCs w:val="24"/>
          <w:rtl w:val="0"/>
        </w:rPr>
        <w:t xml:space="preserve">only one </w:t>
      </w:r>
      <w:r>
        <w:rPr>
          <w:rFonts w:ascii="Courier New" w:hAnsi="Courier New" w:eastAsia="Courier New" w:cs="Courier New"/>
          <w:color w:val="444444"/>
          <w:sz w:val="24"/>
          <w:szCs w:val="24"/>
          <w:shd w:val="clear" w:fill="F5F5F5"/>
          <w:rtl w:val="0"/>
        </w:rPr>
        <w:t>conn3ct-backend</w:t>
      </w:r>
      <w:r>
        <w:rPr>
          <w:b/>
          <w:bCs/>
          <w:color w:val="000000"/>
          <w:sz w:val="24"/>
          <w:szCs w:val="24"/>
          <w:rtl w:val="0"/>
        </w:rPr>
        <w:t xml:space="preserve"> pod can run per Kubernetes Worker Node</w:t>
      </w:r>
      <w:r>
        <w:rPr>
          <w:color w:val="000000"/>
          <w:sz w:val="24"/>
          <w:szCs w:val="24"/>
          <w:rtl w:val="0"/>
        </w:rPr>
        <w:t>. The autoscaler (</w:t>
      </w:r>
      <w:r>
        <w:rPr>
          <w:rFonts w:ascii="Courier New" w:hAnsi="Courier New" w:eastAsia="Courier New" w:cs="Courier New"/>
          <w:color w:val="444444"/>
          <w:sz w:val="24"/>
          <w:szCs w:val="24"/>
          <w:shd w:val="clear" w:fill="F5F5F5"/>
          <w:rtl w:val="0"/>
        </w:rPr>
        <w:t>maxReplicas: 20</w:t>
      </w:r>
      <w:r>
        <w:rPr>
          <w:color w:val="000000"/>
          <w:sz w:val="24"/>
          <w:szCs w:val="24"/>
          <w:rtl w:val="0"/>
        </w:rPr>
        <w:t>) implies you need at least 20 worker nodes in the cluster to reach maximum capacity, or you must implement an anti-affinity rule to prevent scheduling collisions.</w:t>
      </w:r>
    </w:p>
    <w:p w14:paraId="702B5292">
      <w:pPr>
        <w:pStyle w:val="3"/>
        <w:bidi w:val="0"/>
        <w:spacing w:before="240" w:after="120"/>
      </w:pPr>
      <w:bookmarkStart w:id="6" w:name="_Toc__3_Kubernetes_Services_Ingress_7"/>
      <w:r>
        <w:rPr>
          <w:color w:val="000000"/>
          <w:sz w:val="28"/>
          <w:szCs w:val="28"/>
          <w:rtl w:val="0"/>
        </w:rPr>
        <w:t>3. Kubernetes Services &amp; Ingress</w:t>
      </w:r>
      <w:bookmarkEnd w:id="6"/>
    </w:p>
    <w:p w14:paraId="020057FC">
      <w:pPr>
        <w:pStyle w:val="4"/>
        <w:bidi w:val="0"/>
        <w:spacing w:before="240" w:after="120"/>
      </w:pPr>
      <w:bookmarkStart w:id="7" w:name="_Toc_Ingress_Controller_conn3ctingress_8"/>
      <w:r>
        <w:rPr>
          <w:color w:val="000000"/>
          <w:sz w:val="24"/>
          <w:szCs w:val="24"/>
          <w:rtl w:val="0"/>
        </w:rPr>
        <w:t>Ingress Controller (</w:t>
      </w:r>
      <w:r>
        <w:rPr>
          <w:rFonts w:ascii="Courier New" w:hAnsi="Courier New" w:eastAsia="Courier New" w:cs="Courier New"/>
          <w:color w:val="444444"/>
          <w:sz w:val="24"/>
          <w:szCs w:val="24"/>
          <w:shd w:val="clear" w:fill="F5F5F5"/>
          <w:rtl w:val="0"/>
        </w:rPr>
        <w:t>conn3ct-ingress</w:t>
      </w:r>
      <w:r>
        <w:rPr>
          <w:color w:val="000000"/>
          <w:sz w:val="24"/>
          <w:szCs w:val="24"/>
          <w:rtl w:val="0"/>
        </w:rPr>
        <w:t>)</w:t>
      </w:r>
      <w:bookmarkEnd w:id="7"/>
    </w:p>
    <w:p w14:paraId="3E472EF6">
      <w:pPr>
        <w:pStyle w:val="19"/>
        <w:numPr>
          <w:ilvl w:val="0"/>
          <w:numId w:val="1"/>
        </w:numPr>
        <w:bidi w:val="0"/>
        <w:spacing w:before="120" w:after="120"/>
      </w:pPr>
      <w:r>
        <w:rPr>
          <w:b/>
          <w:bCs/>
          <w:color w:val="000000"/>
          <w:sz w:val="24"/>
          <w:szCs w:val="24"/>
          <w:rtl w:val="0"/>
        </w:rPr>
        <w:t>Sticky Sessions:</w:t>
      </w:r>
      <w:r>
        <w:rPr>
          <w:color w:val="000000"/>
          <w:sz w:val="24"/>
          <w:szCs w:val="24"/>
          <w:rtl w:val="0"/>
        </w:rPr>
        <w:t xml:space="preserve"> Uses </w:t>
      </w:r>
      <w:r>
        <w:rPr>
          <w:rFonts w:ascii="Courier New" w:hAnsi="Courier New" w:eastAsia="Courier New" w:cs="Courier New"/>
          <w:color w:val="444444"/>
          <w:sz w:val="24"/>
          <w:szCs w:val="24"/>
          <w:shd w:val="clear" w:fill="F5F5F5"/>
          <w:rtl w:val="0"/>
        </w:rPr>
        <w:t>nginx.ingress.kubernetes.io/upstream-hash-by: "$arg_roomId"</w:t>
      </w:r>
      <w:r>
        <w:rPr>
          <w:color w:val="000000"/>
          <w:sz w:val="24"/>
          <w:szCs w:val="24"/>
          <w:rtl w:val="0"/>
        </w:rPr>
        <w:t>.</w:t>
      </w:r>
    </w:p>
    <w:p w14:paraId="5EC491E6">
      <w:pPr>
        <w:pStyle w:val="19"/>
        <w:numPr>
          <w:ilvl w:val="1"/>
          <w:numId w:val="1"/>
        </w:numPr>
        <w:bidi w:val="0"/>
        <w:spacing w:before="120" w:after="120"/>
      </w:pPr>
      <w:r>
        <w:rPr>
          <w:b/>
          <w:bCs/>
          <w:color w:val="000000"/>
          <w:sz w:val="24"/>
          <w:szCs w:val="24"/>
          <w:rtl w:val="0"/>
        </w:rPr>
        <w:t>Criticality:</w:t>
      </w:r>
      <w:r>
        <w:rPr>
          <w:color w:val="000000"/>
          <w:sz w:val="24"/>
          <w:szCs w:val="24"/>
          <w:rtl w:val="0"/>
        </w:rPr>
        <w:t xml:space="preserve"> When a user connects to </w:t>
      </w:r>
      <w:r>
        <w:rPr>
          <w:rFonts w:ascii="Courier New" w:hAnsi="Courier New" w:eastAsia="Courier New" w:cs="Courier New"/>
          <w:color w:val="444444"/>
          <w:sz w:val="24"/>
          <w:szCs w:val="24"/>
          <w:shd w:val="clear" w:fill="F5F5F5"/>
          <w:rtl w:val="0"/>
        </w:rPr>
        <w:t>?roomId=xyz</w:t>
      </w:r>
      <w:r>
        <w:rPr>
          <w:color w:val="000000"/>
          <w:sz w:val="24"/>
          <w:szCs w:val="24"/>
          <w:rtl w:val="0"/>
        </w:rPr>
        <w:t>, the WebSocket signaling connection MUST go to the pod that is hosting that room's Mediasoup router. If it goes to a different pod, the media session will fail.</w:t>
      </w:r>
    </w:p>
    <w:p w14:paraId="4A33887C">
      <w:pPr>
        <w:pStyle w:val="19"/>
        <w:numPr>
          <w:ilvl w:val="0"/>
          <w:numId w:val="1"/>
        </w:numPr>
        <w:bidi w:val="0"/>
        <w:spacing w:before="120" w:after="120"/>
      </w:pPr>
      <w:r>
        <w:rPr>
          <w:b/>
          <w:bCs/>
          <w:color w:val="000000"/>
          <w:sz w:val="24"/>
          <w:szCs w:val="24"/>
          <w:rtl w:val="0"/>
        </w:rPr>
        <w:t>Timeouts:</w:t>
      </w:r>
      <w:r>
        <w:rPr>
          <w:color w:val="000000"/>
          <w:sz w:val="24"/>
          <w:szCs w:val="24"/>
          <w:rtl w:val="0"/>
        </w:rPr>
        <w:t xml:space="preserve"> </w:t>
      </w:r>
      <w:r>
        <w:rPr>
          <w:rFonts w:ascii="Courier New" w:hAnsi="Courier New" w:eastAsia="Courier New" w:cs="Courier New"/>
          <w:color w:val="444444"/>
          <w:sz w:val="24"/>
          <w:szCs w:val="24"/>
          <w:shd w:val="clear" w:fill="F5F5F5"/>
          <w:rtl w:val="0"/>
        </w:rPr>
        <w:t>proxy-read-timeout</w:t>
      </w:r>
      <w:r>
        <w:rPr>
          <w:color w:val="000000"/>
          <w:sz w:val="24"/>
          <w:szCs w:val="24"/>
          <w:rtl w:val="0"/>
        </w:rPr>
        <w:t xml:space="preserve"> and </w:t>
      </w:r>
      <w:r>
        <w:rPr>
          <w:rFonts w:ascii="Courier New" w:hAnsi="Courier New" w:eastAsia="Courier New" w:cs="Courier New"/>
          <w:color w:val="444444"/>
          <w:sz w:val="24"/>
          <w:szCs w:val="24"/>
          <w:shd w:val="clear" w:fill="F5F5F5"/>
          <w:rtl w:val="0"/>
        </w:rPr>
        <w:t>proxy-send-timeout</w:t>
      </w:r>
      <w:r>
        <w:rPr>
          <w:color w:val="000000"/>
          <w:sz w:val="24"/>
          <w:szCs w:val="24"/>
          <w:rtl w:val="0"/>
        </w:rPr>
        <w:t xml:space="preserve"> are set to </w:t>
      </w:r>
      <w:r>
        <w:rPr>
          <w:rFonts w:ascii="Courier New" w:hAnsi="Courier New" w:eastAsia="Courier New" w:cs="Courier New"/>
          <w:color w:val="444444"/>
          <w:sz w:val="24"/>
          <w:szCs w:val="24"/>
          <w:shd w:val="clear" w:fill="F5F5F5"/>
          <w:rtl w:val="0"/>
        </w:rPr>
        <w:t>3600</w:t>
      </w:r>
      <w:r>
        <w:rPr>
          <w:color w:val="000000"/>
          <w:sz w:val="24"/>
          <w:szCs w:val="24"/>
          <w:rtl w:val="0"/>
        </w:rPr>
        <w:t xml:space="preserve"> (1 hour) to ensure WebSockets remain alive during long, inactive meetings.</w:t>
      </w:r>
    </w:p>
    <w:p w14:paraId="3B8775ED">
      <w:pPr>
        <w:pStyle w:val="4"/>
        <w:bidi w:val="0"/>
        <w:spacing w:before="240" w:after="120"/>
      </w:pPr>
      <w:bookmarkStart w:id="8" w:name="_Toc_Load_Balancers_L4L7_9"/>
      <w:r>
        <w:rPr>
          <w:color w:val="000000"/>
          <w:sz w:val="24"/>
          <w:szCs w:val="24"/>
          <w:rtl w:val="0"/>
        </w:rPr>
        <w:t>Load Balancers (L4/L7)</w:t>
      </w:r>
      <w:bookmarkEnd w:id="8"/>
    </w:p>
    <w:p w14:paraId="55E9BBD8">
      <w:pPr>
        <w:pStyle w:val="19"/>
        <w:numPr>
          <w:ilvl w:val="0"/>
          <w:numId w:val="2"/>
        </w:numPr>
        <w:bidi w:val="0"/>
        <w:spacing w:before="120" w:after="120"/>
      </w:pPr>
      <w:r>
        <w:rPr>
          <w:b/>
          <w:bCs/>
          <w:color w:val="000000"/>
          <w:sz w:val="24"/>
          <w:szCs w:val="24"/>
          <w:rtl w:val="0"/>
        </w:rPr>
        <w:t>Frontend Load Balancer (</w:t>
      </w:r>
      <w:r>
        <w:rPr>
          <w:rFonts w:ascii="Courier New" w:hAnsi="Courier New" w:eastAsia="Courier New" w:cs="Courier New"/>
          <w:color w:val="444444"/>
          <w:sz w:val="24"/>
          <w:szCs w:val="24"/>
          <w:shd w:val="clear" w:fill="F5F5F5"/>
          <w:rtl w:val="0"/>
        </w:rPr>
        <w:t>conn3ct-frontend</w:t>
      </w:r>
      <w:r>
        <w:rPr>
          <w:b/>
          <w:bCs/>
          <w:color w:val="000000"/>
          <w:sz w:val="24"/>
          <w:szCs w:val="24"/>
          <w:rtl w:val="0"/>
        </w:rPr>
        <w:t>)</w:t>
      </w:r>
    </w:p>
    <w:p w14:paraId="2F18AAEF">
      <w:pPr>
        <w:pStyle w:val="19"/>
        <w:numPr>
          <w:ilvl w:val="1"/>
          <w:numId w:val="1"/>
        </w:numPr>
        <w:bidi w:val="0"/>
        <w:spacing w:before="120" w:after="120"/>
      </w:pPr>
      <w:r>
        <w:rPr>
          <w:color w:val="000000"/>
          <w:sz w:val="24"/>
          <w:szCs w:val="24"/>
          <w:rtl w:val="0"/>
        </w:rPr>
        <w:t>Exposes standard HTTP/HTTPS routing to the Next.js frontend pods.</w:t>
      </w:r>
    </w:p>
    <w:p w14:paraId="3F01A067">
      <w:pPr>
        <w:pStyle w:val="19"/>
        <w:numPr>
          <w:ilvl w:val="0"/>
          <w:numId w:val="2"/>
        </w:numPr>
        <w:bidi w:val="0"/>
        <w:spacing w:before="120" w:after="120"/>
      </w:pPr>
      <w:r>
        <w:rPr>
          <w:b/>
          <w:bCs/>
          <w:color w:val="000000"/>
          <w:sz w:val="24"/>
          <w:szCs w:val="24"/>
          <w:rtl w:val="0"/>
        </w:rPr>
        <w:t>Backend Service (</w:t>
      </w:r>
      <w:r>
        <w:rPr>
          <w:rFonts w:ascii="Courier New" w:hAnsi="Courier New" w:eastAsia="Courier New" w:cs="Courier New"/>
          <w:color w:val="444444"/>
          <w:sz w:val="24"/>
          <w:szCs w:val="24"/>
          <w:shd w:val="clear" w:fill="F5F5F5"/>
          <w:rtl w:val="0"/>
        </w:rPr>
        <w:t>conn3ct-backend-service</w:t>
      </w:r>
      <w:r>
        <w:rPr>
          <w:b/>
          <w:bCs/>
          <w:color w:val="000000"/>
          <w:sz w:val="24"/>
          <w:szCs w:val="24"/>
          <w:rtl w:val="0"/>
        </w:rPr>
        <w:t>)</w:t>
      </w:r>
    </w:p>
    <w:p w14:paraId="03A6F4BB">
      <w:pPr>
        <w:pStyle w:val="19"/>
        <w:numPr>
          <w:ilvl w:val="1"/>
          <w:numId w:val="1"/>
        </w:numPr>
        <w:bidi w:val="0"/>
        <w:spacing w:before="120" w:after="120"/>
      </w:pPr>
      <w:r>
        <w:rPr>
          <w:color w:val="000000"/>
          <w:sz w:val="24"/>
          <w:szCs w:val="24"/>
          <w:rtl w:val="0"/>
        </w:rPr>
        <w:t>A generic LoadBalancer pointing to the Nginx Ingress. The Ingress handles the TLS termination (if configured) and WebSocket upgrades (</w:t>
      </w:r>
      <w:r>
        <w:rPr>
          <w:rFonts w:ascii="Courier New" w:hAnsi="Courier New" w:eastAsia="Courier New" w:cs="Courier New"/>
          <w:color w:val="444444"/>
          <w:sz w:val="24"/>
          <w:szCs w:val="24"/>
          <w:shd w:val="clear" w:fill="F5F5F5"/>
          <w:rtl w:val="0"/>
        </w:rPr>
        <w:t>/signal</w:t>
      </w:r>
      <w:r>
        <w:rPr>
          <w:color w:val="000000"/>
          <w:sz w:val="24"/>
          <w:szCs w:val="24"/>
          <w:rtl w:val="0"/>
        </w:rPr>
        <w:t>).</w:t>
      </w:r>
    </w:p>
    <w:p w14:paraId="4EF56DB7">
      <w:pPr>
        <w:pStyle w:val="3"/>
        <w:bidi w:val="0"/>
        <w:spacing w:before="240" w:after="120"/>
      </w:pPr>
      <w:bookmarkStart w:id="9" w:name="_Toc__4_Comprehensive_Firewall_Security_Group_10"/>
      <w:r>
        <w:rPr>
          <w:color w:val="000000"/>
          <w:sz w:val="28"/>
          <w:szCs w:val="28"/>
          <w:rtl w:val="0"/>
        </w:rPr>
        <w:t>4. Comprehensive Firewall (Security Group) Requirements</w:t>
      </w:r>
      <w:bookmarkEnd w:id="9"/>
    </w:p>
    <w:p w14:paraId="13949D2A">
      <w:pPr>
        <w:bidi w:val="0"/>
        <w:spacing w:before="240" w:after="240" w:line="276" w:lineRule="auto"/>
        <w:jc w:val="left"/>
      </w:pPr>
      <w:r>
        <w:rPr>
          <w:color w:val="000000"/>
          <w:sz w:val="24"/>
          <w:szCs w:val="24"/>
          <w:rtl w:val="0"/>
        </w:rPr>
        <w:t xml:space="preserve">These rules must be applied at the infrastructure level (e.g., AWS Security Groups, DigitalOcean Cloud Firewalls) attached to the </w:t>
      </w:r>
      <w:r>
        <w:rPr>
          <w:b/>
          <w:bCs/>
          <w:color w:val="000000"/>
          <w:sz w:val="24"/>
          <w:szCs w:val="24"/>
          <w:rtl w:val="0"/>
        </w:rPr>
        <w:t>Kubernetes Worker Nodes</w:t>
      </w:r>
      <w:r>
        <w:rPr>
          <w:color w:val="000000"/>
          <w:sz w:val="24"/>
          <w:szCs w:val="24"/>
          <w:rtl w:val="0"/>
        </w:rPr>
        <w:t>.</w:t>
      </w:r>
    </w:p>
    <w:p w14:paraId="69E33D0E">
      <w:pPr>
        <w:pStyle w:val="4"/>
        <w:bidi w:val="0"/>
        <w:spacing w:before="240" w:after="120"/>
      </w:pPr>
      <w:bookmarkStart w:id="10" w:name="_Toc_Inbound_Rules_Ingress_to_Nodes_11"/>
      <w:r>
        <w:rPr>
          <w:color w:val="000000"/>
          <w:sz w:val="24"/>
          <w:szCs w:val="24"/>
          <w:rtl w:val="0"/>
        </w:rPr>
        <w:t>Inbound Rules (Ingress to Nodes)</w:t>
      </w:r>
      <w:bookmarkEnd w:id="10"/>
    </w:p>
    <w:tbl>
      <w:tblPr>
        <w:tblStyle w:val="9"/>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00" w:type="dxa"/>
          <w:left w:w="100" w:type="dxa"/>
          <w:bottom w:w="100" w:type="dxa"/>
          <w:right w:w="100" w:type="dxa"/>
        </w:tblCellMar>
      </w:tblPr>
      <w:tblGrid>
        <w:gridCol w:w="1187"/>
        <w:gridCol w:w="1157"/>
        <w:gridCol w:w="1329"/>
        <w:gridCol w:w="6073"/>
      </w:tblGrid>
      <w:tr w14:paraId="137AB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shd w:val="clear" w:color="auto" w:fill="F2F2F2"/>
          </w:tcPr>
          <w:p w14:paraId="0BB5F882">
            <w:pPr>
              <w:jc w:val="left"/>
            </w:pPr>
            <w:r>
              <w:rPr>
                <w:b/>
                <w:bCs/>
                <w:color w:val="000000"/>
                <w:sz w:val="24"/>
                <w:szCs w:val="24"/>
                <w:rtl w:val="0"/>
              </w:rPr>
              <w:t>Protocol</w:t>
            </w:r>
          </w:p>
        </w:tc>
        <w:tc>
          <w:tcPr>
            <w:shd w:val="clear" w:color="auto" w:fill="F2F2F2"/>
          </w:tcPr>
          <w:p w14:paraId="1CACC985">
            <w:pPr>
              <w:jc w:val="left"/>
            </w:pPr>
            <w:r>
              <w:rPr>
                <w:b/>
                <w:bCs/>
                <w:color w:val="000000"/>
                <w:sz w:val="24"/>
                <w:szCs w:val="24"/>
                <w:rtl w:val="0"/>
              </w:rPr>
              <w:t>Port Range</w:t>
            </w:r>
          </w:p>
        </w:tc>
        <w:tc>
          <w:tcPr>
            <w:shd w:val="clear" w:color="auto" w:fill="F2F2F2"/>
          </w:tcPr>
          <w:p w14:paraId="2CB723CE">
            <w:pPr>
              <w:jc w:val="left"/>
            </w:pPr>
            <w:r>
              <w:rPr>
                <w:b/>
                <w:bCs/>
                <w:color w:val="000000"/>
                <w:sz w:val="24"/>
                <w:szCs w:val="24"/>
                <w:rtl w:val="0"/>
              </w:rPr>
              <w:t>Source (CIDR)</w:t>
            </w:r>
          </w:p>
        </w:tc>
        <w:tc>
          <w:tcPr>
            <w:shd w:val="clear" w:color="auto" w:fill="F2F2F2"/>
          </w:tcPr>
          <w:p w14:paraId="5A87267F">
            <w:pPr>
              <w:jc w:val="left"/>
            </w:pPr>
            <w:r>
              <w:rPr>
                <w:b/>
                <w:bCs/>
                <w:color w:val="000000"/>
                <w:sz w:val="24"/>
                <w:szCs w:val="24"/>
                <w:rtl w:val="0"/>
              </w:rPr>
              <w:t>Purpose</w:t>
            </w:r>
          </w:p>
        </w:tc>
      </w:tr>
      <w:tr w14:paraId="26964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32DB3B11">
            <w:pPr>
              <w:jc w:val="left"/>
            </w:pPr>
            <w:r>
              <w:rPr>
                <w:color w:val="000000"/>
                <w:sz w:val="24"/>
                <w:szCs w:val="24"/>
                <w:rtl w:val="0"/>
              </w:rPr>
              <w:t>TCP</w:t>
            </w:r>
          </w:p>
        </w:tc>
        <w:tc>
          <w:p w14:paraId="36D63C3F">
            <w:pPr>
              <w:jc w:val="left"/>
            </w:pPr>
            <w:r>
              <w:rPr>
                <w:color w:val="000000"/>
                <w:sz w:val="24"/>
                <w:szCs w:val="24"/>
                <w:rtl w:val="0"/>
              </w:rPr>
              <w:t>80</w:t>
            </w:r>
          </w:p>
        </w:tc>
        <w:tc>
          <w:p w14:paraId="041857C6">
            <w:pPr>
              <w:jc w:val="left"/>
            </w:pPr>
            <w:r>
              <w:rPr>
                <w:color w:val="000000"/>
                <w:sz w:val="24"/>
                <w:szCs w:val="24"/>
                <w:rtl w:val="0"/>
              </w:rPr>
              <w:t>0.0.0.0/0</w:t>
            </w:r>
          </w:p>
        </w:tc>
        <w:tc>
          <w:p w14:paraId="79E96113">
            <w:pPr>
              <w:jc w:val="left"/>
            </w:pPr>
            <w:r>
              <w:rPr>
                <w:color w:val="000000"/>
                <w:sz w:val="24"/>
                <w:szCs w:val="24"/>
                <w:rtl w:val="0"/>
              </w:rPr>
              <w:t>HTTP traffic to NodePorts/LoadBalancers</w:t>
            </w:r>
          </w:p>
        </w:tc>
      </w:tr>
      <w:tr w14:paraId="4E876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5A7DA853">
            <w:pPr>
              <w:jc w:val="left"/>
            </w:pPr>
            <w:r>
              <w:rPr>
                <w:color w:val="000000"/>
                <w:sz w:val="24"/>
                <w:szCs w:val="24"/>
                <w:rtl w:val="0"/>
              </w:rPr>
              <w:t>TCP</w:t>
            </w:r>
          </w:p>
        </w:tc>
        <w:tc>
          <w:p w14:paraId="3ED83E71">
            <w:pPr>
              <w:jc w:val="left"/>
            </w:pPr>
            <w:r>
              <w:rPr>
                <w:color w:val="000000"/>
                <w:sz w:val="24"/>
                <w:szCs w:val="24"/>
                <w:rtl w:val="0"/>
              </w:rPr>
              <w:t>443</w:t>
            </w:r>
          </w:p>
        </w:tc>
        <w:tc>
          <w:p w14:paraId="471BE6D4">
            <w:pPr>
              <w:jc w:val="left"/>
            </w:pPr>
            <w:r>
              <w:rPr>
                <w:color w:val="000000"/>
                <w:sz w:val="24"/>
                <w:szCs w:val="24"/>
                <w:rtl w:val="0"/>
              </w:rPr>
              <w:t>0.0.0.0/0</w:t>
            </w:r>
          </w:p>
        </w:tc>
        <w:tc>
          <w:p w14:paraId="0B5069C8">
            <w:pPr>
              <w:jc w:val="left"/>
            </w:pPr>
            <w:r>
              <w:rPr>
                <w:color w:val="000000"/>
                <w:sz w:val="24"/>
                <w:szCs w:val="24"/>
                <w:rtl w:val="0"/>
              </w:rPr>
              <w:t>HTTPS traffic to NodePorts/LoadBalancers</w:t>
            </w:r>
          </w:p>
        </w:tc>
      </w:tr>
      <w:tr w14:paraId="4AC06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3CBEF2DD">
            <w:pPr>
              <w:jc w:val="left"/>
            </w:pPr>
            <w:r>
              <w:rPr>
                <w:b/>
                <w:bCs/>
                <w:color w:val="000000"/>
                <w:sz w:val="24"/>
                <w:szCs w:val="24"/>
                <w:rtl w:val="0"/>
              </w:rPr>
              <w:t>UDP</w:t>
            </w:r>
          </w:p>
        </w:tc>
        <w:tc>
          <w:p w14:paraId="0FDDE99F">
            <w:pPr>
              <w:jc w:val="left"/>
            </w:pPr>
            <w:r>
              <w:rPr>
                <w:b/>
                <w:bCs/>
                <w:color w:val="000000"/>
                <w:sz w:val="24"/>
                <w:szCs w:val="24"/>
                <w:rtl w:val="0"/>
              </w:rPr>
              <w:t>10000 - 20000</w:t>
            </w:r>
          </w:p>
        </w:tc>
        <w:tc>
          <w:p w14:paraId="33763ABA">
            <w:pPr>
              <w:jc w:val="left"/>
            </w:pPr>
            <w:r>
              <w:rPr>
                <w:b/>
                <w:bCs/>
                <w:color w:val="000000"/>
                <w:sz w:val="24"/>
                <w:szCs w:val="24"/>
                <w:rtl w:val="0"/>
              </w:rPr>
              <w:t>0.0.0.0/0</w:t>
            </w:r>
          </w:p>
        </w:tc>
        <w:tc>
          <w:p w14:paraId="177D9232">
            <w:pPr>
              <w:jc w:val="left"/>
            </w:pPr>
            <w:r>
              <w:rPr>
                <w:b/>
                <w:bCs/>
                <w:color w:val="000000"/>
                <w:sz w:val="24"/>
                <w:szCs w:val="24"/>
                <w:rtl w:val="0"/>
              </w:rPr>
              <w:t>CRITICAL: Direct WebRTC Media Traffic. Dropping these packets results in black screens or no audio.</w:t>
            </w:r>
          </w:p>
        </w:tc>
      </w:tr>
      <w:tr w14:paraId="30871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28F0AAB4">
            <w:pPr>
              <w:jc w:val="left"/>
            </w:pPr>
            <w:r>
              <w:rPr>
                <w:color w:val="000000"/>
                <w:sz w:val="24"/>
                <w:szCs w:val="24"/>
                <w:rtl w:val="0"/>
              </w:rPr>
              <w:t>TCP</w:t>
            </w:r>
          </w:p>
        </w:tc>
        <w:tc>
          <w:p w14:paraId="61CA1533">
            <w:pPr>
              <w:jc w:val="left"/>
            </w:pPr>
            <w:r>
              <w:rPr>
                <w:color w:val="000000"/>
                <w:sz w:val="24"/>
                <w:szCs w:val="24"/>
                <w:rtl w:val="0"/>
              </w:rPr>
              <w:t>3000</w:t>
            </w:r>
          </w:p>
        </w:tc>
        <w:tc>
          <w:p w14:paraId="282A2E07">
            <w:pPr>
              <w:jc w:val="left"/>
            </w:pPr>
            <w:r>
              <w:rPr>
                <w:color w:val="000000"/>
                <w:sz w:val="24"/>
                <w:szCs w:val="24"/>
                <w:rtl w:val="0"/>
              </w:rPr>
              <w:t>VPC / Subnet</w:t>
            </w:r>
          </w:p>
        </w:tc>
        <w:tc>
          <w:p w14:paraId="25BF3D73">
            <w:pPr>
              <w:jc w:val="left"/>
            </w:pPr>
            <w:r>
              <w:rPr>
                <w:color w:val="000000"/>
                <w:sz w:val="24"/>
                <w:szCs w:val="24"/>
                <w:rtl w:val="0"/>
              </w:rPr>
              <w:t xml:space="preserve">Internal LB health checks and Ingress routing to the </w:t>
            </w:r>
            <w:r>
              <w:rPr>
                <w:rFonts w:ascii="Courier New" w:hAnsi="Courier New" w:eastAsia="Courier New" w:cs="Courier New"/>
                <w:color w:val="444444"/>
                <w:sz w:val="20"/>
                <w:szCs w:val="20"/>
                <w:shd w:val="clear" w:fill="F5F5F5"/>
                <w:rtl w:val="0"/>
              </w:rPr>
              <w:t>hostNetwork</w:t>
            </w:r>
            <w:r>
              <w:rPr>
                <w:color w:val="000000"/>
                <w:sz w:val="24"/>
                <w:szCs w:val="24"/>
                <w:rtl w:val="0"/>
              </w:rPr>
              <w:t xml:space="preserve"> pods.</w:t>
            </w:r>
          </w:p>
        </w:tc>
      </w:tr>
      <w:tr w14:paraId="11CFE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530BE901">
            <w:pPr>
              <w:jc w:val="left"/>
            </w:pPr>
            <w:r>
              <w:rPr>
                <w:color w:val="000000"/>
                <w:sz w:val="24"/>
                <w:szCs w:val="24"/>
                <w:rtl w:val="0"/>
              </w:rPr>
              <w:t>TCP/UDP</w:t>
            </w:r>
          </w:p>
        </w:tc>
        <w:tc>
          <w:p w14:paraId="49E34BEB">
            <w:pPr>
              <w:jc w:val="left"/>
            </w:pPr>
            <w:r>
              <w:rPr>
                <w:i/>
                <w:iCs/>
                <w:color w:val="000000"/>
                <w:sz w:val="24"/>
                <w:szCs w:val="24"/>
                <w:rtl w:val="0"/>
              </w:rPr>
              <w:t>Varies by CNI</w:t>
            </w:r>
          </w:p>
        </w:tc>
        <w:tc>
          <w:p w14:paraId="190E9782">
            <w:pPr>
              <w:jc w:val="left"/>
            </w:pPr>
            <w:r>
              <w:rPr>
                <w:color w:val="000000"/>
                <w:sz w:val="24"/>
                <w:szCs w:val="24"/>
                <w:rtl w:val="0"/>
              </w:rPr>
              <w:t>VPC / Subnet</w:t>
            </w:r>
          </w:p>
        </w:tc>
        <w:tc>
          <w:p w14:paraId="136DC038">
            <w:pPr>
              <w:jc w:val="left"/>
            </w:pPr>
            <w:r>
              <w:rPr>
                <w:color w:val="000000"/>
                <w:sz w:val="24"/>
                <w:szCs w:val="24"/>
                <w:rtl w:val="0"/>
              </w:rPr>
              <w:t>Kubernetes overlay network (e.g., VXLAN/Calico) for pod-to-pod communication.</w:t>
            </w:r>
          </w:p>
        </w:tc>
      </w:tr>
    </w:tbl>
    <w:p w14:paraId="0B997DB2">
      <w:pPr>
        <w:pStyle w:val="4"/>
        <w:bidi w:val="0"/>
        <w:spacing w:before="240" w:after="120"/>
      </w:pPr>
      <w:bookmarkStart w:id="11" w:name="_Toc_Outbound_Rules_Egress_from_Nodes_12"/>
      <w:r>
        <w:rPr>
          <w:color w:val="000000"/>
          <w:sz w:val="24"/>
          <w:szCs w:val="24"/>
          <w:rtl w:val="0"/>
        </w:rPr>
        <w:t>Outbound Rules (Egress from Nodes)</w:t>
      </w:r>
      <w:bookmarkEnd w:id="11"/>
    </w:p>
    <w:tbl>
      <w:tblPr>
        <w:tblStyle w:val="9"/>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00" w:type="dxa"/>
          <w:left w:w="100" w:type="dxa"/>
          <w:bottom w:w="100" w:type="dxa"/>
          <w:right w:w="100" w:type="dxa"/>
        </w:tblCellMar>
      </w:tblPr>
      <w:tblGrid>
        <w:gridCol w:w="1067"/>
        <w:gridCol w:w="1268"/>
        <w:gridCol w:w="1374"/>
        <w:gridCol w:w="6037"/>
      </w:tblGrid>
      <w:tr w14:paraId="5B07F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rPr>
          <w:tblHeader/>
        </w:trPr>
        <w:tc>
          <w:tcPr>
            <w:shd w:val="clear" w:color="auto" w:fill="F2F2F2"/>
          </w:tcPr>
          <w:p w14:paraId="0BA69652">
            <w:pPr>
              <w:jc w:val="left"/>
            </w:pPr>
            <w:r>
              <w:rPr>
                <w:b/>
                <w:bCs/>
                <w:color w:val="000000"/>
                <w:sz w:val="24"/>
                <w:szCs w:val="24"/>
                <w:rtl w:val="0"/>
              </w:rPr>
              <w:t>Protocol</w:t>
            </w:r>
          </w:p>
        </w:tc>
        <w:tc>
          <w:tcPr>
            <w:shd w:val="clear" w:color="auto" w:fill="F2F2F2"/>
          </w:tcPr>
          <w:p w14:paraId="5926B368">
            <w:pPr>
              <w:jc w:val="left"/>
            </w:pPr>
            <w:r>
              <w:rPr>
                <w:b/>
                <w:bCs/>
                <w:color w:val="000000"/>
                <w:sz w:val="24"/>
                <w:szCs w:val="24"/>
                <w:rtl w:val="0"/>
              </w:rPr>
              <w:t>Port Range</w:t>
            </w:r>
          </w:p>
        </w:tc>
        <w:tc>
          <w:tcPr>
            <w:shd w:val="clear" w:color="auto" w:fill="F2F2F2"/>
          </w:tcPr>
          <w:p w14:paraId="129E96FC">
            <w:pPr>
              <w:jc w:val="left"/>
            </w:pPr>
            <w:r>
              <w:rPr>
                <w:b/>
                <w:bCs/>
                <w:color w:val="000000"/>
                <w:sz w:val="24"/>
                <w:szCs w:val="24"/>
                <w:rtl w:val="0"/>
              </w:rPr>
              <w:t>Destination</w:t>
            </w:r>
          </w:p>
        </w:tc>
        <w:tc>
          <w:tcPr>
            <w:shd w:val="clear" w:color="auto" w:fill="F2F2F2"/>
          </w:tcPr>
          <w:p w14:paraId="2174F9B6">
            <w:pPr>
              <w:jc w:val="left"/>
            </w:pPr>
            <w:r>
              <w:rPr>
                <w:b/>
                <w:bCs/>
                <w:color w:val="000000"/>
                <w:sz w:val="24"/>
                <w:szCs w:val="24"/>
                <w:rtl w:val="0"/>
              </w:rPr>
              <w:t>Purpose</w:t>
            </w:r>
          </w:p>
        </w:tc>
      </w:tr>
      <w:tr w14:paraId="3EF02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3ABC9507">
            <w:pPr>
              <w:jc w:val="left"/>
            </w:pPr>
            <w:r>
              <w:rPr>
                <w:color w:val="000000"/>
                <w:sz w:val="24"/>
                <w:szCs w:val="24"/>
                <w:rtl w:val="0"/>
              </w:rPr>
              <w:t>All</w:t>
            </w:r>
          </w:p>
        </w:tc>
        <w:tc>
          <w:p w14:paraId="38A1ABDF">
            <w:pPr>
              <w:jc w:val="left"/>
            </w:pPr>
            <w:r>
              <w:rPr>
                <w:color w:val="000000"/>
                <w:sz w:val="24"/>
                <w:szCs w:val="24"/>
                <w:rtl w:val="0"/>
              </w:rPr>
              <w:t>All</w:t>
            </w:r>
          </w:p>
        </w:tc>
        <w:tc>
          <w:p w14:paraId="38075AD4">
            <w:pPr>
              <w:jc w:val="left"/>
            </w:pPr>
            <w:r>
              <w:rPr>
                <w:color w:val="000000"/>
                <w:sz w:val="24"/>
                <w:szCs w:val="24"/>
                <w:rtl w:val="0"/>
              </w:rPr>
              <w:t>0.0.0.0/0</w:t>
            </w:r>
          </w:p>
        </w:tc>
        <w:tc>
          <w:p w14:paraId="77A0477F">
            <w:pPr>
              <w:jc w:val="left"/>
            </w:pPr>
            <w:r>
              <w:rPr>
                <w:color w:val="000000"/>
                <w:sz w:val="24"/>
                <w:szCs w:val="24"/>
                <w:rtl w:val="0"/>
              </w:rPr>
              <w:t>Default Outbound. Required for the backend to communicate with APIs</w:t>
            </w:r>
          </w:p>
        </w:tc>
      </w:tr>
    </w:tbl>
    <w:p w14:paraId="7351F87C">
      <w:pPr>
        <w:pStyle w:val="3"/>
        <w:bidi w:val="0"/>
        <w:spacing w:before="240" w:after="120"/>
      </w:pPr>
      <w:bookmarkStart w:id="12" w:name="_Toc__5_Summary_Checklist_for_Network_Enginee_13"/>
      <w:r>
        <w:rPr>
          <w:color w:val="000000"/>
          <w:sz w:val="28"/>
          <w:szCs w:val="28"/>
          <w:rtl w:val="0"/>
        </w:rPr>
        <w:t>5. Summary Checklist for Network Engineers</w:t>
      </w:r>
      <w:bookmarkEnd w:id="12"/>
    </w:p>
    <w:p w14:paraId="633C5941">
      <w:pPr>
        <w:pStyle w:val="19"/>
        <w:numPr>
          <w:ilvl w:val="0"/>
          <w:numId w:val="3"/>
        </w:numPr>
        <w:bidi w:val="0"/>
        <w:spacing w:before="120" w:after="120"/>
      </w:pPr>
      <w:r>
        <w:rPr>
          <w:b/>
          <w:bCs/>
          <w:color w:val="000000"/>
          <w:sz w:val="24"/>
          <w:szCs w:val="24"/>
          <w:rtl w:val="0"/>
        </w:rPr>
        <w:t>Verify Worker Node Public IPs:</w:t>
      </w:r>
      <w:r>
        <w:rPr>
          <w:color w:val="000000"/>
          <w:sz w:val="24"/>
          <w:szCs w:val="24"/>
          <w:rtl w:val="0"/>
        </w:rPr>
        <w:t xml:space="preserve"> Ensure that </w:t>
      </w:r>
      <w:r>
        <w:rPr>
          <w:rFonts w:ascii="Courier New" w:hAnsi="Courier New" w:eastAsia="Courier New" w:cs="Courier New"/>
          <w:color w:val="444444"/>
          <w:sz w:val="24"/>
          <w:szCs w:val="24"/>
          <w:shd w:val="clear" w:fill="F5F5F5"/>
          <w:rtl w:val="0"/>
        </w:rPr>
        <w:t>status.hostIP</w:t>
      </w:r>
      <w:r>
        <w:rPr>
          <w:color w:val="000000"/>
          <w:sz w:val="24"/>
          <w:szCs w:val="24"/>
          <w:rtl w:val="0"/>
        </w:rPr>
        <w:t xml:space="preserve"> accurately reflects the Public, routable IP of the node. If nodes are in a private subnet behind a NAT gateway, </w:t>
      </w:r>
      <w:r>
        <w:rPr>
          <w:rFonts w:ascii="Courier New" w:hAnsi="Courier New" w:eastAsia="Courier New" w:cs="Courier New"/>
          <w:color w:val="444444"/>
          <w:sz w:val="24"/>
          <w:szCs w:val="24"/>
          <w:shd w:val="clear" w:fill="F5F5F5"/>
          <w:rtl w:val="0"/>
        </w:rPr>
        <w:t>WEBRTC_ANNOUNCED_IP</w:t>
      </w:r>
      <w:r>
        <w:rPr>
          <w:color w:val="000000"/>
          <w:sz w:val="24"/>
          <w:szCs w:val="24"/>
          <w:rtl w:val="0"/>
        </w:rPr>
        <w:t xml:space="preserve"> must be set to the NAT Gateway's public IP, and port forwarding (10000-20000 UDP) must be configured from the NAT to the specific nodes (which is extremely complex). </w:t>
      </w:r>
      <w:r>
        <w:rPr>
          <w:b/>
          <w:bCs/>
          <w:color w:val="000000"/>
          <w:sz w:val="24"/>
          <w:szCs w:val="24"/>
          <w:rtl w:val="0"/>
        </w:rPr>
        <w:t>Publicly routable worker nodes are highly recommended.</w:t>
      </w:r>
    </w:p>
    <w:p w14:paraId="70404644">
      <w:pPr>
        <w:pStyle w:val="19"/>
        <w:numPr>
          <w:ilvl w:val="0"/>
          <w:numId w:val="3"/>
        </w:numPr>
        <w:bidi w:val="0"/>
        <w:spacing w:before="120" w:after="120"/>
      </w:pPr>
      <w:r>
        <w:rPr>
          <w:b/>
          <w:bCs/>
          <w:color w:val="000000"/>
          <w:sz w:val="24"/>
          <w:szCs w:val="24"/>
          <w:rtl w:val="0"/>
        </w:rPr>
        <w:t>Verify UDP Port Range:</w:t>
      </w:r>
      <w:r>
        <w:rPr>
          <w:color w:val="000000"/>
          <w:sz w:val="24"/>
          <w:szCs w:val="24"/>
          <w:rtl w:val="0"/>
        </w:rPr>
        <w:t xml:space="preserve"> Ensure the cloud firewall allows </w:t>
      </w:r>
      <w:r>
        <w:rPr>
          <w:rFonts w:ascii="Courier New" w:hAnsi="Courier New" w:eastAsia="Courier New" w:cs="Courier New"/>
          <w:color w:val="444444"/>
          <w:sz w:val="24"/>
          <w:szCs w:val="24"/>
          <w:shd w:val="clear" w:fill="F5F5F5"/>
          <w:rtl w:val="0"/>
        </w:rPr>
        <w:t>10000-20000 UDP</w:t>
      </w:r>
      <w:r>
        <w:rPr>
          <w:color w:val="000000"/>
          <w:sz w:val="24"/>
          <w:szCs w:val="24"/>
          <w:rtl w:val="0"/>
        </w:rPr>
        <w:t xml:space="preserve"> directly to the worker nodes, </w:t>
      </w:r>
      <w:r>
        <w:rPr>
          <w:i/>
          <w:iCs/>
          <w:color w:val="000000"/>
          <w:sz w:val="24"/>
          <w:szCs w:val="24"/>
          <w:rtl w:val="0"/>
        </w:rPr>
        <w:t>not</w:t>
      </w:r>
      <w:r>
        <w:rPr>
          <w:color w:val="000000"/>
          <w:sz w:val="24"/>
          <w:szCs w:val="24"/>
          <w:rtl w:val="0"/>
        </w:rPr>
        <w:t xml:space="preserve"> just to the Load Balancers.</w:t>
      </w:r>
    </w:p>
    <w:p w14:paraId="7FC3BA40">
      <w:pPr>
        <w:pStyle w:val="19"/>
        <w:numPr>
          <w:ilvl w:val="0"/>
          <w:numId w:val="3"/>
        </w:numPr>
        <w:bidi w:val="0"/>
        <w:spacing w:before="120" w:after="120"/>
      </w:pPr>
      <w:r>
        <w:rPr>
          <w:b/>
          <w:bCs/>
          <w:color w:val="000000"/>
          <w:sz w:val="24"/>
          <w:szCs w:val="24"/>
          <w:rtl w:val="0"/>
        </w:rPr>
        <w:t>Load Balancer WebSockets:</w:t>
      </w:r>
      <w:r>
        <w:rPr>
          <w:color w:val="000000"/>
          <w:sz w:val="24"/>
          <w:szCs w:val="24"/>
          <w:rtl w:val="0"/>
        </w:rPr>
        <w:t xml:space="preserve"> Ensure your Load Balancer timeouts are long enough to support long-lived WebSocket connections, and that WebSocket upgrade headers are passed through.</w:t>
      </w:r>
    </w:p>
    <w:p w14:paraId="7FAC0724">
      <w:pPr>
        <w:pStyle w:val="19"/>
        <w:numPr>
          <w:ilvl w:val="0"/>
          <w:numId w:val="3"/>
        </w:numPr>
        <w:bidi w:val="0"/>
        <w:spacing w:before="120" w:after="120"/>
      </w:pPr>
      <w:r>
        <w:rPr>
          <w:b/>
          <w:bCs/>
          <w:color w:val="000000"/>
          <w:sz w:val="24"/>
          <w:szCs w:val="24"/>
          <w:rtl w:val="0"/>
        </w:rPr>
        <w:t>TURN Connectivity:</w:t>
      </w:r>
      <w:r>
        <w:rPr>
          <w:color w:val="000000"/>
          <w:sz w:val="24"/>
          <w:szCs w:val="24"/>
          <w:rtl w:val="0"/>
        </w:rPr>
        <w:t xml:space="preserve"> Verify that the backend can reach </w:t>
      </w:r>
      <w:r>
        <w:rPr>
          <w:rFonts w:ascii="Courier New" w:hAnsi="Courier New" w:eastAsia="Courier New" w:cs="Courier New"/>
          <w:color w:val="444444"/>
          <w:sz w:val="24"/>
          <w:szCs w:val="24"/>
          <w:shd w:val="clear" w:fill="F5F5F5"/>
          <w:rtl w:val="0"/>
        </w:rPr>
        <w:t>turnedge.konn3ct.net</w:t>
      </w:r>
      <w:r>
        <w:rPr>
          <w:color w:val="000000"/>
          <w:sz w:val="24"/>
          <w:szCs w:val="24"/>
          <w:rtl w:val="0"/>
        </w:rPr>
        <w:t xml:space="preserve"> to issue credentials, and that clients can reach it over standard TURN ports (TCP 443 / UDP 3478).</w:t>
      </w:r>
    </w:p>
    <w:sectPr>
      <w:footerReference r:id="rId3" w:type="default"/>
      <w:pgSz w:w="11906" w:h="16838"/>
      <w:pgMar w:top="1440" w:right="1080" w:bottom="144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977126">
    <w:pPr>
      <w:bidi w:val="0"/>
      <w:jc w:val="center"/>
    </w:pPr>
    <w:r>
      <w:rPr>
        <w:sz w:val="24"/>
        <w:szCs w:val="24"/>
        <w:rtl w:val="0"/>
      </w:rPr>
      <w:fldChar w:fldCharType="begin"/>
    </w:r>
    <w:r>
      <w:rPr>
        <w:sz w:val="24"/>
        <w:szCs w:val="24"/>
        <w:rtl w:val="0"/>
      </w:rPr>
      <w:instrText xml:space="preserve">PAGE</w:instrText>
    </w:r>
    <w:r>
      <w:rPr>
        <w:sz w:val="24"/>
        <w:szCs w:val="24"/>
        <w:rtl w:val="0"/>
      </w:rPr>
      <w:fldChar w:fldCharType="separate"/>
    </w:r>
    <w:r>
      <w:rPr>
        <w:sz w:val="24"/>
        <w:szCs w:val="24"/>
        <w:rtl w:val="0"/>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singleLevel"/>
    <w:tmpl w:val="B5E306ED"/>
    <w:lvl w:ilvl="0" w:tentative="0">
      <w:start w:val="1"/>
      <w:numFmt w:val="decimal"/>
      <w:lvlText w:val="%1."/>
      <w:lvlJc w:val="left"/>
      <w:pPr>
        <w:ind w:left="720" w:hanging="260"/>
      </w:pPr>
    </w:lvl>
  </w:abstractNum>
  <w:abstractNum w:abstractNumId="1">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abstractNum w:abstractNumId="2">
    <w:nsid w:val="59ADCABA"/>
    <w:multiLevelType w:val="singleLevel"/>
    <w:tmpl w:val="59ADCABA"/>
    <w:lvl w:ilvl="0" w:tentative="0">
      <w:start w:val="1"/>
      <w:numFmt w:val="decimal"/>
      <w:lvlText w:val="%1."/>
      <w:lvlJc w:val="left"/>
      <w:pPr>
        <w:ind w:left="720" w:hanging="260"/>
      </w:pPr>
    </w:lvl>
  </w:abstractNum>
  <w:num w:numId="1">
    <w:abstractNumId w:val="1"/>
    <w:lvlOverride w:ilvl="0">
      <w:startOverride w:val="1"/>
    </w:lvlOverride>
  </w:num>
  <w:num w:numId="2">
    <w:abstractNumId w:val="2"/>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17E106B9"/>
    <w:rsid w:val="20790B8D"/>
    <w:rsid w:val="478D5BA5"/>
    <w:rsid w:val="488E4B80"/>
    <w:rsid w:val="5FE02BA9"/>
    <w:rsid w:val="68783C80"/>
    <w:rsid w:val="69E56781"/>
    <w:rsid w:val="70986C75"/>
    <w:rsid w:val="717A2FBC"/>
    <w:rsid w:val="737179E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pPr>
      <w:spacing w:before="360" w:after="240"/>
      <w:outlineLvl w:val="1"/>
    </w:pPr>
    <w:rPr>
      <w:b/>
      <w:bCs/>
      <w:color w:val="000000"/>
      <w:sz w:val="32"/>
      <w:szCs w:val="32"/>
    </w:rPr>
  </w:style>
  <w:style w:type="paragraph" w:styleId="3">
    <w:name w:val="heading 2"/>
    <w:next w:val="1"/>
    <w:qFormat/>
    <w:uiPriority w:val="0"/>
    <w:pPr>
      <w:spacing w:before="320" w:after="160"/>
      <w:outlineLvl w:val="2"/>
    </w:pPr>
    <w:rPr>
      <w:b/>
      <w:bCs/>
      <w:color w:val="000000"/>
      <w:sz w:val="28"/>
      <w:szCs w:val="28"/>
    </w:rPr>
  </w:style>
  <w:style w:type="paragraph" w:styleId="4">
    <w:name w:val="heading 3"/>
    <w:next w:val="1"/>
    <w:qFormat/>
    <w:uiPriority w:val="0"/>
    <w:pPr>
      <w:spacing w:before="280" w:after="120"/>
      <w:outlineLvl w:val="3"/>
    </w:pPr>
    <w:rPr>
      <w:b/>
      <w:bCs/>
      <w:color w:val="000000"/>
      <w:sz w:val="24"/>
      <w:szCs w:val="24"/>
    </w:rPr>
  </w:style>
  <w:style w:type="paragraph" w:styleId="5">
    <w:name w:val="heading 4"/>
    <w:next w:val="1"/>
    <w:qFormat/>
    <w:uiPriority w:val="0"/>
    <w:pPr>
      <w:spacing w:before="240" w:after="120"/>
      <w:outlineLvl w:val="4"/>
    </w:pPr>
    <w:rPr>
      <w:b/>
      <w:bCs/>
      <w:color w:val="000000"/>
      <w:sz w:val="20"/>
      <w:szCs w:val="20"/>
    </w:rPr>
  </w:style>
  <w:style w:type="paragraph" w:styleId="6">
    <w:name w:val="heading 5"/>
    <w:next w:val="1"/>
    <w:qFormat/>
    <w:uiPriority w:val="0"/>
    <w:pPr>
      <w:spacing w:before="220" w:after="100"/>
      <w:outlineLvl w:val="5"/>
    </w:pPr>
    <w:rPr>
      <w:b/>
      <w:bCs/>
      <w:color w:val="000000"/>
      <w:sz w:val="16"/>
      <w:szCs w:val="16"/>
    </w:rPr>
  </w:style>
  <w:style w:type="paragraph" w:styleId="7">
    <w:name w:val="heading 6"/>
    <w:next w:val="1"/>
    <w:qFormat/>
    <w:uiPriority w:val="0"/>
    <w:pPr>
      <w:spacing w:before="200" w:after="100"/>
      <w:outlineLvl w:val="6"/>
    </w:pPr>
    <w:rPr>
      <w:b/>
      <w:bCs/>
      <w:color w:val="000000"/>
      <w:sz w:val="12"/>
      <w:szCs w:val="1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1"/>
    <w:semiHidden/>
    <w:unhideWhenUsed/>
    <w:qFormat/>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link w:val="20"/>
    <w:semiHidden/>
    <w:unhideWhenUsed/>
    <w:qFormat/>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Normal (Web)"/>
    <w:basedOn w:val="1"/>
    <w:qFormat/>
    <w:uiPriority w:val="0"/>
    <w:pPr>
      <w:spacing w:before="0" w:beforeAutospacing="1" w:after="0" w:afterAutospacing="1"/>
      <w:ind w:left="0" w:right="0"/>
      <w:jc w:val="left"/>
    </w:pPr>
    <w:rPr>
      <w:kern w:val="0"/>
      <w:sz w:val="24"/>
      <w:szCs w:val="24"/>
      <w:lang w:val="en-US" w:eastAsia="zh-CN" w:bidi="ar"/>
    </w:rPr>
  </w:style>
  <w:style w:type="character" w:styleId="16">
    <w:name w:val="Strong"/>
    <w:basedOn w:val="8"/>
    <w:qFormat/>
    <w:uiPriority w:val="0"/>
    <w:rPr>
      <w:b/>
      <w:bCs/>
    </w:rPr>
  </w:style>
  <w:style w:type="table" w:styleId="17">
    <w:name w:val="Table Grid"/>
    <w:basedOn w:val="9"/>
    <w:qFormat/>
    <w:uiPriority w:val="59"/>
    <w:pPr>
      <w:spacing w:before="240"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8">
    <w:name w:val="Title"/>
    <w:qFormat/>
    <w:uiPriority w:val="0"/>
    <w:pPr>
      <w:spacing w:after="240" w:line="276" w:lineRule="auto"/>
      <w:jc w:val="center"/>
    </w:pPr>
    <w:rPr>
      <w:b/>
      <w:bCs/>
      <w:color w:val="000000"/>
      <w:sz w:val="32"/>
      <w:szCs w:val="32"/>
    </w:rPr>
  </w:style>
  <w:style w:type="paragraph" w:styleId="19">
    <w:name w:val="List Paragraph"/>
    <w:qFormat/>
    <w:uiPriority w:val="0"/>
    <w:rPr>
      <w:sz w:val="21"/>
      <w:szCs w:val="22"/>
    </w:rPr>
  </w:style>
  <w:style w:type="character" w:customStyle="1" w:styleId="20">
    <w:name w:val="Footnote Text Char"/>
    <w:link w:val="13"/>
    <w:semiHidden/>
    <w:unhideWhenUsed/>
    <w:qFormat/>
    <w:uiPriority w:val="99"/>
    <w:rPr>
      <w:sz w:val="20"/>
      <w:szCs w:val="20"/>
    </w:rPr>
  </w:style>
  <w:style w:type="character" w:customStyle="1" w:styleId="21">
    <w:name w:val="Endnote Text Char"/>
    <w:link w:val="11"/>
    <w:semiHidden/>
    <w:unhideWhenUsed/>
    <w:uiPriority w:val="99"/>
    <w:rPr>
      <w:sz w:val="20"/>
      <w:szCs w:val="20"/>
    </w:rPr>
  </w:style>
  <w:style w:type="paragraph" w:styleId="22">
    <w:name w:val="No Spacing"/>
    <w:qFormat/>
    <w:uiPriority w:val="1"/>
    <w:pPr>
      <w:spacing w:after="0" w:line="240" w:lineRule="auto"/>
    </w:pPr>
    <w:rPr>
      <w:rFonts w:ascii="Arial" w:hAnsi="Arial" w:eastAsia="Times New Roman" w:cs="Times New Roman"/>
      <w:sz w:val="24"/>
      <w:szCs w:val="24"/>
      <w:lang w:val="en-GB"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Words>818</Words>
  <Characters>5057</Characters>
  <TotalTime>23</TotalTime>
  <ScaleCrop>false</ScaleCrop>
  <LinksUpToDate>false</LinksUpToDate>
  <CharactersWithSpaces>5848</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2026-07-16T20:30:00Z</dcterms:created>
  <dc:creator>Un-named</dc:creator>
  <cp:lastModifiedBy>WPS_1614583766</cp:lastModifiedBy>
  <dcterms:modified xsi:type="dcterms:W3CDTF">2026-07-16T21:53:54Z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eyJoZGlkIjoiMTZkMjZmMmI4NjgwZjc2MDI3NzBiZjViYmQ4ZDUwOWYiLCJ1c2VySWQiOiIyNzY2MTY4MzE4OTE5In0=</vt:lpwstr>
  </property>
  <property fmtid="{D5CDD505-2E9C-101B-9397-08002B2CF9AE}" pid="3" name="KSOProductBuildVer">
    <vt:lpwstr>1033-12.1.0.26880</vt:lpwstr>
  </property>
  <property fmtid="{D5CDD505-2E9C-101B-9397-08002B2CF9AE}" pid="4" name="ICV">
    <vt:lpwstr>52657F8CE0F4482FA50A3A437D543F0F_12</vt:lpwstr>
  </property>
</Properties>
</file>