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부동산학개론 빈칸 채우기 연습지</w:t>
      </w:r>
    </w:p>
    <w:p>
      <w:r>
        <w:rPr>
          <w:i/>
          <w:iCs/>
          <w:color w:val="475569"/>
        </w:rPr>
        <w:t xml:space="preserve">봄기출 · 자주 출제되는 핵심 문장으로 만든 빈칸 채우기 20문항 (정답은 맨 뒤에)</w:t>
      </w:r>
    </w:p>
    <w:p/>
    <w:p>
      <w:pPr>
        <w:pStyle w:val="Heading1"/>
      </w:pPr>
      <w:r>
        <w:t xml:space="preserve">부동산투자론</w:t>
      </w:r>
    </w:p>
    <w:p>
      <w:r>
        <w:rPr>
          <w:b/>
          <w:bCs/>
        </w:rPr>
        <w:t xml:space="preserve">1. </w:t>
      </w:r>
      <w:r>
        <w:t xml:space="preserve">순현재가치(NPV) = 미래현금흐름의 (　　　) − 초기투자액이다.</w:t>
      </w:r>
    </w:p>
    <w:p>
      <w:r>
        <w:rPr>
          <w:b/>
          <w:bCs/>
        </w:rPr>
        <w:t xml:space="preserve">2. </w:t>
      </w:r>
      <w:r>
        <w:t xml:space="preserve">투자규모가 다른 상호배타적 투자안에서는 (　　　)법과 수익성지수(PI)법의 우선순위 결론이 달라질 수 있다.</w:t>
      </w:r>
    </w:p>
    <w:p>
      <w:r>
        <w:rPr>
          <w:b/>
          <w:bCs/>
        </w:rPr>
        <w:t xml:space="preserve">3. </w:t>
      </w:r>
      <w:r>
        <w:t xml:space="preserve">타인자본을 활용하면 자기자본수익률의 (　　　)이 커지는데, 이를 레버리지 효과라 한다.</w:t>
      </w:r>
    </w:p>
    <w:p>
      <w:pPr>
        <w:pStyle w:val="Heading1"/>
      </w:pPr>
      <w:r>
        <w:t xml:space="preserve">부동산경제론</w:t>
      </w:r>
    </w:p>
    <w:p>
      <w:r>
        <w:rPr>
          <w:b/>
          <w:bCs/>
        </w:rPr>
        <w:t xml:space="preserve">4. </w:t>
      </w:r>
      <w:r>
        <w:t xml:space="preserve">수요의 가격탄력성 = |수요량변화율 ÷ (　　　)|이다.</w:t>
      </w:r>
    </w:p>
    <w:p>
      <w:r>
        <w:rPr>
          <w:b/>
          <w:bCs/>
        </w:rPr>
        <w:t xml:space="preserve">5. </w:t>
      </w:r>
      <w:r>
        <w:t xml:space="preserve">교차탄력성이 양(+)이면 두 재화는 (　　　) 관계이다.</w:t>
      </w:r>
    </w:p>
    <w:p>
      <w:r>
        <w:rPr>
          <w:b/>
          <w:bCs/>
        </w:rPr>
        <w:t xml:space="preserve">6. </w:t>
      </w:r>
      <w:r>
        <w:t xml:space="preserve">미세한 가격변화에도 수요량이 무한히 변화하는 경우를 (　　　)이라 하며, 수요곡선은 수평선 형태다.</w:t>
      </w:r>
    </w:p>
    <w:p>
      <w:pPr>
        <w:pStyle w:val="Heading1"/>
      </w:pPr>
      <w:r>
        <w:t xml:space="preserve">부동산금융론</w:t>
      </w:r>
    </w:p>
    <w:p>
      <w:r>
        <w:rPr>
          <w:b/>
          <w:bCs/>
        </w:rPr>
        <w:t xml:space="preserve">7. </w:t>
      </w:r>
      <w:r>
        <w:t xml:space="preserve">MBS 중 발행자가 채무불이행 위험을 부담하며 초과담보를 제공하는 채권형 증권은 (　　　)이다.</w:t>
      </w:r>
    </w:p>
    <w:p>
      <w:r>
        <w:rPr>
          <w:b/>
          <w:bCs/>
        </w:rPr>
        <w:t xml:space="preserve">8. </w:t>
      </w:r>
      <w:r>
        <w:t xml:space="preserve">트랜치별로 이자율과 만기를 다르게 설계한 MBS 상품은 (　　　)이다.</w:t>
      </w:r>
    </w:p>
    <w:p>
      <w:r>
        <w:rPr>
          <w:b/>
          <w:bCs/>
        </w:rPr>
        <w:t xml:space="preserve">9. </w:t>
      </w:r>
      <w:r>
        <w:t xml:space="preserve">대출가능금액은 LTV 기준과 (　　　) 기준으로 각각 계산한 뒤, 더 작은 금액이 실제 한도가 된다.</w:t>
      </w:r>
    </w:p>
    <w:p>
      <w:pPr>
        <w:pStyle w:val="Heading1"/>
      </w:pPr>
      <w:r>
        <w:t xml:space="preserve">부동산정책론</w:t>
      </w:r>
    </w:p>
    <w:p>
      <w:r>
        <w:rPr>
          <w:b/>
          <w:bCs/>
        </w:rPr>
        <w:t xml:space="preserve">10. </w:t>
      </w:r>
      <w:r>
        <w:t xml:space="preserve">토지수용, 공공임대주택 건설은 정부의 (　　　) 시장개입 수단이다.</w:t>
      </w:r>
    </w:p>
    <w:p>
      <w:r>
        <w:rPr>
          <w:b/>
          <w:bCs/>
        </w:rPr>
        <w:t xml:space="preserve">11. </w:t>
      </w:r>
      <w:r>
        <w:t xml:space="preserve">개발부담금 부과, 조세, 보조금은 정부의 (　　　) 시장개입 수단이다.</w:t>
      </w:r>
    </w:p>
    <w:p>
      <w:r>
        <w:rPr>
          <w:b/>
          <w:bCs/>
        </w:rPr>
        <w:t xml:space="preserve">12. </w:t>
      </w:r>
      <w:r>
        <w:t xml:space="preserve">분양가상한제 적용 주택의 분양가 = 택지비 + (　　　)이다.</w:t>
      </w:r>
    </w:p>
    <w:p>
      <w:r>
        <w:rPr>
          <w:b/>
          <w:bCs/>
        </w:rPr>
        <w:t xml:space="preserve">13. </w:t>
      </w:r>
      <w:r>
        <w:t xml:space="preserve">공동주택가격을 공시하는 주체는 (　　　)이며, 시장·군수·구청장의 의견을 청취한다.</w:t>
      </w:r>
    </w:p>
    <w:p>
      <w:pPr>
        <w:pStyle w:val="Heading1"/>
      </w:pPr>
      <w:r>
        <w:t xml:space="preserve">부동산시장론</w:t>
      </w:r>
    </w:p>
    <w:p>
      <w:r>
        <w:rPr>
          <w:b/>
          <w:bCs/>
        </w:rPr>
        <w:t xml:space="preserve">14. </w:t>
      </w:r>
      <w:r>
        <w:t xml:space="preserve">입지계수(LQ)가 (　　　)을 초과하면 그 지역의 특화(수출기반) 산업으로 판단한다.</w:t>
      </w:r>
    </w:p>
    <w:p>
      <w:r>
        <w:rPr>
          <w:b/>
          <w:bCs/>
        </w:rPr>
        <w:t xml:space="preserve">15. </w:t>
      </w:r>
      <w:r>
        <w:t xml:space="preserve">차액지대설에 따르면 지대는 토지의 (　　　) 차이에서 발생하며, 최열등지에서는 발생하지 않는다.</w:t>
      </w:r>
    </w:p>
    <w:p>
      <w:r>
        <w:rPr>
          <w:b/>
          <w:bCs/>
        </w:rPr>
        <w:t xml:space="preserve">16. </w:t>
      </w:r>
      <w:r>
        <w:t xml:space="preserve">단기적으로 공급이 고정된 자본재에 귀속되는 일시적 잉여를 마샬은 (　　　)라고 불렀다.</w:t>
      </w:r>
    </w:p>
    <w:p>
      <w:pPr>
        <w:pStyle w:val="Heading1"/>
      </w:pPr>
      <w:r>
        <w:t xml:space="preserve">부동산개발 및 관리론</w:t>
      </w:r>
    </w:p>
    <w:p>
      <w:r>
        <w:rPr>
          <w:b/>
          <w:bCs/>
        </w:rPr>
        <w:t xml:space="preserve">17. </w:t>
      </w:r>
      <w:r>
        <w:t xml:space="preserve">위탁(외주)관리 방식은 전문성이 높은 대신 (　　　)에 불리하다.</w:t>
      </w:r>
    </w:p>
    <w:p>
      <w:r>
        <w:rPr>
          <w:b/>
          <w:bCs/>
        </w:rPr>
        <w:t xml:space="preserve">18. </w:t>
      </w:r>
      <w:r>
        <w:t xml:space="preserve">부동산개발의 법률적 위험을 줄이는 대표적 방법은 (　　　)이 확정된 토지를 구입하는 것이다.</w:t>
      </w:r>
    </w:p>
    <w:p>
      <w:pPr>
        <w:pStyle w:val="Heading1"/>
      </w:pPr>
      <w:r>
        <w:t xml:space="preserve">감정평가의 방식</w:t>
      </w:r>
    </w:p>
    <w:p>
      <w:r>
        <w:rPr>
          <w:b/>
          <w:bCs/>
        </w:rPr>
        <w:t xml:space="preserve">19. </w:t>
      </w:r>
      <w:r>
        <w:t xml:space="preserve">정액법 감가율 = (1 − 잔가율) ÷ (　　　)이다.</w:t>
      </w:r>
    </w:p>
    <w:p>
      <w:r>
        <w:rPr>
          <w:b/>
          <w:bCs/>
        </w:rPr>
        <w:t xml:space="preserve">20. </w:t>
      </w:r>
      <w:r>
        <w:t xml:space="preserve">적산법에서 적산임료 = 기초가액 × 기대이율 + (　　　)이다.</w:t>
      </w:r>
    </w:p>
    <w:p/>
    <w:p>
      <w:pPr>
        <w:pStyle w:val="Heading1"/>
        <w:pageBreakBefore/>
      </w:pPr>
      <w:r>
        <w:t xml:space="preserve">정답</w:t>
      </w:r>
    </w:p>
    <w:p>
      <w:r>
        <w:t xml:space="preserve">1. 현재가치</w:t>
      </w:r>
    </w:p>
    <w:p>
      <w:r>
        <w:t xml:space="preserve">2. 순현재가치(NPV)</w:t>
      </w:r>
    </w:p>
    <w:p>
      <w:r>
        <w:t xml:space="preserve">3. 변동성(위험)</w:t>
      </w:r>
    </w:p>
    <w:p>
      <w:r>
        <w:t xml:space="preserve">4. 가격변화율</w:t>
      </w:r>
    </w:p>
    <w:p>
      <w:r>
        <w:t xml:space="preserve">5. 대체재</w:t>
      </w:r>
    </w:p>
    <w:p>
      <w:r>
        <w:t xml:space="preserve">6. 완전탄력적</w:t>
      </w:r>
    </w:p>
    <w:p>
      <w:r>
        <w:t xml:space="preserve">7. MBB</w:t>
      </w:r>
    </w:p>
    <w:p>
      <w:r>
        <w:t xml:space="preserve">8. CMO</w:t>
      </w:r>
    </w:p>
    <w:p>
      <w:r>
        <w:t xml:space="preserve">9. DCR(부채감당률)</w:t>
      </w:r>
    </w:p>
    <w:p>
      <w:r>
        <w:t xml:space="preserve">10. 직접적</w:t>
      </w:r>
    </w:p>
    <w:p>
      <w:r>
        <w:t xml:space="preserve">11. 간접적</w:t>
      </w:r>
    </w:p>
    <w:p>
      <w:r>
        <w:t xml:space="preserve">12. 건축비</w:t>
      </w:r>
    </w:p>
    <w:p>
      <w:r>
        <w:t xml:space="preserve">13. 국토교통부장관</w:t>
      </w:r>
    </w:p>
    <w:p>
      <w:r>
        <w:t xml:space="preserve">14. 1</w:t>
      </w:r>
    </w:p>
    <w:p>
      <w:r>
        <w:t xml:space="preserve">15. 비옥도</w:t>
      </w:r>
    </w:p>
    <w:p>
      <w:r>
        <w:t xml:space="preserve">16. 준지대</w:t>
      </w:r>
    </w:p>
    <w:p>
      <w:r>
        <w:t xml:space="preserve">17. 기밀유지</w:t>
      </w:r>
    </w:p>
    <w:p>
      <w:r>
        <w:t xml:space="preserve">18. 이용계획</w:t>
      </w:r>
    </w:p>
    <w:p>
      <w:r>
        <w:t xml:space="preserve">19. 경제적 내용연수</w:t>
      </w:r>
    </w:p>
    <w:p>
      <w:r>
        <w:t xml:space="preserve">20. 필요제경비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2026-07-08T21:27:26.224Z</dcterms:created>
  <dcterms:modified xsi:type="dcterms:W3CDTF">2026-07-08T21:27:26.231Z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