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C5A059"/>
          <w:sz w:val="18"/>
        </w:rPr>
        <w:t>MÜNHASIR YETKİLİ KURUMSAL YATIRIM TEKLİFİ</w:t>
        <w:br/>
      </w:r>
      <w:r>
        <w:rPr>
          <w:color w:val="64748B"/>
          <w:sz w:val="18"/>
        </w:rPr>
        <w:t>Coldwell Banker VIP Real Gayrimenkul</w:t>
        <w:br/>
        <w:t>Danışman: YİĞİT NARİN (0532 451 40 08)</w:t>
      </w:r>
    </w:p>
    <w:p>
      <w:r>
        <w:rPr>
          <w:b/>
          <w:color w:val="1B365D"/>
          <w:sz w:val="32"/>
        </w:rPr>
        <w:br/>
        <w:t>SATILIK KIZILCAŞAR LÖSANTE KARŞISI KARSISI KÖŞE PARSEL TICARI SATILIK BINA</w:t>
        <w:br/>
      </w:r>
    </w:p>
    <w:p>
      <w:r>
        <w:rPr>
          <w:i/>
          <w:color w:val="475569"/>
          <w:sz w:val="22"/>
        </w:rPr>
        <w:t>Konum: Ankara  |  Ölçek: 420 m² (4 Katlı)  |  Fiyat: Teklif Usulü / Özel Görüşme</w:t>
      </w:r>
    </w:p>
    <w:p>
      <w:pPr>
        <w:pStyle w:val="Heading2"/>
      </w:pPr>
      <w:r>
        <w:t>1. Mülkün Stratejik Değerleri &amp; Haksız Avantajları</w:t>
      </w:r>
    </w:p>
    <w:p>
      <w:pPr>
        <w:pStyle w:val="ListBullet"/>
      </w:pPr>
      <w:r>
        <w:rPr>
          <w:sz w:val="21"/>
        </w:rPr>
        <w:t>TİCARİ KULLANIM AVANTAJI: Şirket merkezi, sağlık kuruluşu ve eğitim kampüsüne tam uyumlu yasal altyapı.</w:t>
      </w:r>
    </w:p>
    <w:p>
      <w:pPr>
        <w:pStyle w:val="ListBullet"/>
      </w:pPr>
      <w:r>
        <w:rPr>
          <w:sz w:val="21"/>
        </w:rPr>
        <w:t>KÖŞE PARSEL TABELA DEĞERİ: Çift cadde cepheli kesintisiz kurumsal görünürlük, bağımsız çift giriş ve yüksek vitrin prestiji.</w:t>
      </w:r>
    </w:p>
    <w:p>
      <w:pPr>
        <w:pStyle w:val="ListBullet"/>
      </w:pPr>
      <w:r>
        <w:rPr>
          <w:sz w:val="21"/>
        </w:rPr>
        <w:t>MÜSTAKİL OTOPARK &amp; BAHÇE: Özel kapalı garaj, misafir araç kapasitesi ve bağımsız peyzajlı bahçe.</w:t>
      </w:r>
    </w:p>
    <w:p>
      <w:pPr>
        <w:pStyle w:val="Heading2"/>
      </w:pPr>
      <w:r>
        <w:t>2. Mimari Kondisyon &amp; Görsel Değerlendirme</w:t>
      </w:r>
    </w:p>
    <w:p>
      <w:r>
        <w:rPr>
          <w:b/>
        </w:rPr>
        <w:t>Genel Kondisyon: Çok Bakımlı &amp; Masrafsız (Skor: 8/10)</w:t>
        <w:br/>
      </w:r>
      <w:r>
        <w:t>Ticari Uygunluk: Çok Yüksek</w:t>
        <w:br/>
      </w:r>
      <w:r>
        <w:t>Doğal Aydınlatma &amp; Cephe: Dört Cepheli Ferah Doğal Işık</w:t>
        <w:br/>
      </w:r>
      <w:r>
        <w:t>Analiz Modeli: NexaScout Heuristic Vision Agent</w:t>
      </w:r>
    </w:p>
    <w:p>
      <w:pPr>
        <w:pStyle w:val="Heading2"/>
      </w:pPr>
      <w:r>
        <w:t>3. Öncelikli Kurumsal Alıcı Sektörleri &amp; PropFit Skorları</w:t>
      </w:r>
    </w:p>
    <w:tbl>
      <w:tblPr>
        <w:tblW w:type="auto" w:w="0"/>
        <w:jc w:val="center"/>
        <w:tblLayout w:type="fixed"/>
        <w:tblLook w:firstColumn="1" w:firstRow="1" w:lastColumn="0" w:lastRow="0" w:noHBand="0" w:noVBand="1" w:val="04A0"/>
      </w:tblPr>
      <w:tblGrid>
        <w:gridCol w:w="3264"/>
        <w:gridCol w:w="3264"/>
        <w:gridCol w:w="3264"/>
      </w:tblGrid>
      <w:tr>
        <w:tc>
          <w:tcPr>
            <w:tcW w:type="dxa" w:w="3264"/>
            <w:shd w:fill="1B365D"/>
          </w:tcPr>
          <w:p>
            <w:r>
              <w:rPr>
                <w:b/>
                <w:color w:val="FFFFFF"/>
              </w:rPr>
              <w:t>Sektör &amp; Alıcı Grubu</w:t>
            </w:r>
          </w:p>
        </w:tc>
        <w:tc>
          <w:tcPr>
            <w:tcW w:type="dxa" w:w="3264"/>
            <w:shd w:fill="1B365D"/>
          </w:tcPr>
          <w:p>
            <w:r>
              <w:rPr>
                <w:b/>
                <w:color w:val="FFFFFF"/>
              </w:rPr>
              <w:t>PropFit</w:t>
            </w:r>
          </w:p>
        </w:tc>
        <w:tc>
          <w:tcPr>
            <w:tcW w:type="dxa" w:w="3264"/>
            <w:shd w:fill="1B365D"/>
          </w:tcPr>
          <w:p>
            <w:r>
              <w:rPr>
                <w:b/>
                <w:color w:val="FFFFFF"/>
              </w:rPr>
              <w:t>Stratejik Uyum Gerekçesi</w:t>
            </w:r>
          </w:p>
        </w:tc>
      </w:tr>
      <w:tr>
        <w:tc>
          <w:tcPr>
            <w:tcW w:type="dxa" w:w="3264"/>
          </w:tcPr>
          <w:p>
            <w:r>
              <w:rPr>
                <w:b/>
                <w:sz w:val="19"/>
              </w:rPr>
              <w:t>Özel Hastane, Tıp Merkezi &amp; Onkoloji/Genetik Klinikleri</w:t>
            </w:r>
          </w:p>
        </w:tc>
        <w:tc>
          <w:tcPr>
            <w:tcW w:type="dxa" w:w="3264"/>
          </w:tcPr>
          <w:p>
            <w:r>
              <w:rPr>
                <w:b/>
                <w:color w:val="B40000"/>
                <w:sz w:val="19"/>
              </w:rPr>
              <w:t>%99</w:t>
            </w:r>
          </w:p>
        </w:tc>
        <w:tc>
          <w:tcPr>
            <w:tcW w:type="dxa" w:w="3264"/>
          </w:tcPr>
          <w:p>
            <w:r>
              <w:rPr>
                <w:sz w:val="19"/>
              </w:rPr>
              <w:t>LÖSANTE Hastanesi'nin tam karşısında yer alması nedeniyle doğrudan hasta ve ziyaretçi sinerjisi. Bölgedeki tek TİCARİ ruhsatlı bina olması ve hazır asansör şaftı sayesinde Sağlık Bakanlığı Ayakta Teşhis ve Tedavi Yönetmeliği şartlarını tek seferde karşılar.</w:t>
            </w:r>
          </w:p>
        </w:tc>
      </w:tr>
      <w:tr>
        <w:tc>
          <w:tcPr>
            <w:tcW w:type="dxa" w:w="3264"/>
          </w:tcPr>
          <w:p>
            <w:r>
              <w:rPr>
                <w:b/>
                <w:sz w:val="19"/>
              </w:rPr>
              <w:t>Ağız ve Diş Sağlığı Poliklinikleri &amp; VIP Estetik/Plastik Cerrahi</w:t>
            </w:r>
          </w:p>
        </w:tc>
        <w:tc>
          <w:tcPr>
            <w:tcW w:type="dxa" w:w="3264"/>
          </w:tcPr>
          <w:p>
            <w:r>
              <w:rPr>
                <w:b/>
                <w:color w:val="B40000"/>
                <w:sz w:val="19"/>
              </w:rPr>
              <w:t>%97</w:t>
            </w:r>
          </w:p>
        </w:tc>
        <w:tc>
          <w:tcPr>
            <w:tcW w:type="dxa" w:w="3264"/>
          </w:tcPr>
          <w:p>
            <w:r>
              <w:rPr>
                <w:sz w:val="19"/>
              </w:rPr>
              <w:t>Köşe parsel çift cadde tabela prestiji, bağımsız steril klinik odaları, müstakil otopark ve su deposu altyapısı. İncek/Çayyolu A+ sosyoekonomik müşteri kitlesine VIP hizmet vermek için rakipsiz lokasyon.</w:t>
            </w:r>
          </w:p>
        </w:tc>
      </w:tr>
      <w:tr>
        <w:tc>
          <w:tcPr>
            <w:tcW w:type="dxa" w:w="3264"/>
          </w:tcPr>
          <w:p>
            <w:r>
              <w:rPr>
                <w:b/>
                <w:sz w:val="19"/>
              </w:rPr>
              <w:t>Savunma Sanayii Tedarikçileri, Siber Güvenlik &amp; Tier-1 AR-GE Karargahları</w:t>
            </w:r>
          </w:p>
        </w:tc>
        <w:tc>
          <w:tcPr>
            <w:tcW w:type="dxa" w:w="3264"/>
          </w:tcPr>
          <w:p>
            <w:r>
              <w:rPr>
                <w:b/>
                <w:color w:val="B40000"/>
                <w:sz w:val="19"/>
              </w:rPr>
              <w:t>%91</w:t>
            </w:r>
          </w:p>
        </w:tc>
        <w:tc>
          <w:tcPr>
            <w:tcW w:type="dxa" w:w="3264"/>
          </w:tcPr>
          <w:p>
            <w:r>
              <w:rPr>
                <w:sz w:val="19"/>
              </w:rPr>
              <w:t>ASELSAN Gölbaşı Yerleşkesi, TUSAŞ ve Çevre Yolu aksına dakikalar içinde erişim. Müstakil bahçe duvarları ile yüksek gizlilik ve güvenlik standardı, sunucu/server odası ve jeneratör altyapısına tam uygunluk.</w:t>
            </w:r>
          </w:p>
        </w:tc>
      </w:tr>
      <w:tr>
        <w:tc>
          <w:tcPr>
            <w:tcW w:type="dxa" w:w="3264"/>
          </w:tcPr>
          <w:p>
            <w:r>
              <w:rPr>
                <w:b/>
                <w:sz w:val="19"/>
              </w:rPr>
              <w:t>Gayrimenkul Yatırım Fonları (GYF), Family Office &amp; Portföy Şirketleri</w:t>
            </w:r>
          </w:p>
        </w:tc>
        <w:tc>
          <w:tcPr>
            <w:tcW w:type="dxa" w:w="3264"/>
          </w:tcPr>
          <w:p>
            <w:r>
              <w:rPr>
                <w:b/>
                <w:color w:val="B40000"/>
                <w:sz w:val="19"/>
              </w:rPr>
              <w:t>%90</w:t>
            </w:r>
          </w:p>
        </w:tc>
        <w:tc>
          <w:tcPr>
            <w:tcW w:type="dxa" w:w="3264"/>
          </w:tcPr>
          <w:p>
            <w:r>
              <w:rPr>
                <w:sz w:val="19"/>
              </w:rPr>
              <w:t>Tek kurumsal kiracıya yüksek çarpanla kiralama potansiyeli, ticari ruhsat tekelinin sağladığı enflasyon üzeri prim artışı ve kurumsal portföy değerleme avantajı.</w:t>
            </w:r>
          </w:p>
        </w:tc>
      </w:tr>
      <w:tr>
        <w:tc>
          <w:tcPr>
            <w:tcW w:type="dxa" w:w="3264"/>
          </w:tcPr>
          <w:p>
            <w:r>
              <w:rPr>
                <w:b/>
                <w:sz w:val="19"/>
              </w:rPr>
              <w:t>VIP Erken Çocukluk Akademisi, Butik Kolej &amp; Yabancı Dil Kampüsü</w:t>
            </w:r>
          </w:p>
        </w:tc>
        <w:tc>
          <w:tcPr>
            <w:tcW w:type="dxa" w:w="3264"/>
          </w:tcPr>
          <w:p>
            <w:r>
              <w:rPr>
                <w:b/>
                <w:color w:val="B40000"/>
                <w:sz w:val="19"/>
              </w:rPr>
              <w:t>%89</w:t>
            </w:r>
          </w:p>
        </w:tc>
        <w:tc>
          <w:tcPr>
            <w:tcW w:type="dxa" w:w="3264"/>
          </w:tcPr>
          <w:p>
            <w:r>
              <w:rPr>
                <w:sz w:val="19"/>
              </w:rPr>
              <w:t>MEB Özel Öğretim Kurumları Standartlar Yönergesi'nin şart koştuğu müstakil bina, güvenli açık bahçe ve zorunlu TİCARİ RUHSAT koşullarını sağlayan bölgedeki tek mülk olması.</w:t>
            </w:r>
          </w:p>
        </w:tc>
      </w:tr>
    </w:tbl>
    <w:p>
      <w:r>
        <w:br/>
      </w:r>
    </w:p>
    <w:p>
      <w:r>
        <w:rPr>
          <w:b/>
        </w:rPr>
        <w:t>Tek Yetkili Portföy Temsilcisi:</w:t>
        <w:br/>
      </w:r>
      <w:r>
        <w:t>YİĞİT NARİN — Coldwell Banker VIP Real Gayrimenkul</w:t>
        <w:br/>
      </w:r>
      <w:r>
        <w:t>Telefon: 0532 451 40 08</w:t>
        <w:br/>
      </w:r>
      <w:r>
        <w:t>İlan Detayı: https://www.sahibinden.com/ilan/emlak-is-yeri-satilik-kizilcasar-losante-karsisi-kose-parsel-ticari-satilik-bina-1343884633/detay/</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