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1A6B3C"/>
          <w:sz w:val="80"/>
          <w:szCs w:val="80"/>
        </w:rPr>
        <w:t xml:space="preserve">AquaLeaf™</w:t>
      </w:r>
    </w:p>
    <w:p>
      <w:pPr>
        <w:spacing w:after="200" w:before="0"/>
        <w:jc w:val="center"/>
      </w:pPr>
      <w:r>
        <w:rPr>
          <w:rFonts w:ascii="Arial" w:cs="Arial" w:eastAsia="Arial" w:hAnsi="Arial"/>
          <w:color w:val="2E8B57"/>
          <w:sz w:val="36"/>
          <w:szCs w:val="36"/>
        </w:rPr>
        <w:t xml:space="preserve">Water-Activated Natural Fibre Wipe</w:t>
      </w:r>
    </w:p>
    <w:p>
      <w:pPr>
        <w:pBdr>
          <w:top w:val="single" w:color="C6E6D2" w:sz="4" w:space="4"/>
          <w:bottom w:val="single" w:color="C6E6D2" w:sz="4" w:space="4"/>
        </w:pBdr>
        <w:spacing w:after="120" w:before="120"/>
        <w:jc w:val="center"/>
      </w:pPr>
      <w:r>
        <w:rPr>
          <w:rFonts w:ascii="Arial" w:cs="Arial" w:eastAsia="Arial" w:hAnsi="Arial"/>
          <w:color w:val="444444"/>
          <w:sz w:val="26"/>
          <w:szCs w:val="26"/>
        </w:rPr>
        <w:t xml:space="preserve">Product Innovation &amp; Feasibility Project Document</w:t>
      </w:r>
    </w:p>
    <w:p>
      <w:pPr>
        <w:spacing w:after="0" w:before="5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Document Version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 — Draft for Review</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May 2025</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Classification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Confidential — Innovation Proposal</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Origin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Nairobi, Kenya</w:t>
            </w:r>
          </w:p>
        </w:tc>
      </w:tr>
    </w:tbl>
    <w:p>
      <w:pPr>
        <w:spacing w:after="0" w:before="600"/>
      </w:pPr>
      <w:r>
        <w:t xml:space="preserve"/>
      </w:r>
    </w:p>
    <w:p>
      <w:pPr>
        <w:jc w:val="center"/>
      </w:pPr>
      <w:r>
        <w:rPr>
          <w:rFonts w:ascii="Arial" w:cs="Arial" w:eastAsia="Arial" w:hAnsi="Arial"/>
          <w:color w:val="1A6B3C"/>
          <w:sz w:val="28"/>
          <w:szCs w:val="28"/>
        </w:rPr>
        <w:t xml:space="preserve">"Clean naturally. Activate simply."</w:t>
      </w:r>
    </w:p>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1. Executive Summary</w:t>
      </w:r>
    </w:p>
    <w:p>
      <w:pPr>
        <w:spacing w:after="120" w:before="60"/>
        <w:jc w:val="both"/>
      </w:pPr>
      <w:r>
        <w:rPr>
          <w:rFonts w:ascii="Arial" w:cs="Arial" w:eastAsia="Arial" w:hAnsi="Arial"/>
          <w:b w:val="false"/>
          <w:bCs w:val="false"/>
          <w:color w:val="1A1A1A"/>
          <w:sz w:val="22"/>
          <w:szCs w:val="22"/>
        </w:rPr>
        <w:t xml:space="preserve">AquaLeaf™ is a novel personal hygiene product: a dry-stored, water-activated natural fibre wipe that delivers the cleaning effectiveness of a wet wipe without the chemical preservatives, packaging waste, or structural failures associated with conventional products. The product is sold dry, eliminating the need for preservatives, and is activated at the point of use by the consumer adding water — a mechanism that is simple, intuitive, and universally accessible.</w:t>
      </w:r>
    </w:p>
    <w:p>
      <w:pPr>
        <w:spacing w:after="0" w:before="100"/>
      </w:pPr>
      <w:r>
        <w:t xml:space="preserve"/>
      </w:r>
    </w:p>
    <w:p>
      <w:pPr>
        <w:spacing w:after="120" w:before="60"/>
        <w:jc w:val="both"/>
      </w:pPr>
      <w:r>
        <w:rPr>
          <w:rFonts w:ascii="Arial" w:cs="Arial" w:eastAsia="Arial" w:hAnsi="Arial"/>
          <w:b w:val="false"/>
          <w:bCs w:val="false"/>
          <w:color w:val="1A1A1A"/>
          <w:sz w:val="22"/>
          <w:szCs w:val="22"/>
        </w:rPr>
        <w:t xml:space="preserve">This document presents the full innovation case for AquaLeaf™, covering the problem statement, technical formulation, materials science, competitive landscape, regulatory considerations, manufacturing pathway, and commercialisation strategy. It is structured to serve as both an internal development reference and an external pitch document for investors, manufacturers, or research partners.</w:t>
      </w:r>
    </w:p>
    <w:p>
      <w:pPr>
        <w:spacing w:after="0" w:before="100"/>
      </w:pPr>
      <w:r>
        <w:t xml:space="preserve"/>
      </w:r>
    </w:p>
    <w:p>
      <w:pPr>
        <w:pStyle w:val="Heading1"/>
        <w:pBdr>
          <w:bottom w:val="single" w:color="1A6B3C" w:sz="8" w:space="6"/>
        </w:pBdr>
        <w:spacing w:after="180" w:before="360"/>
      </w:pPr>
      <w:r>
        <w:rPr>
          <w:rFonts w:ascii="Arial" w:cs="Arial" w:eastAsia="Arial" w:hAnsi="Arial"/>
          <w:b/>
          <w:bCs/>
          <w:color w:val="1A6B3C"/>
          <w:sz w:val="36"/>
          <w:szCs w:val="36"/>
        </w:rPr>
        <w:t xml:space="preserve">2. Problem Statement</w:t>
      </w:r>
    </w:p>
    <w:p>
      <w:pPr>
        <w:pStyle w:val="Heading2"/>
        <w:spacing w:after="120" w:before="280"/>
      </w:pPr>
      <w:r>
        <w:rPr>
          <w:rFonts w:ascii="Arial" w:cs="Arial" w:eastAsia="Arial" w:hAnsi="Arial"/>
          <w:b/>
          <w:bCs/>
          <w:color w:val="2E8B57"/>
          <w:sz w:val="28"/>
          <w:szCs w:val="28"/>
        </w:rPr>
        <w:t xml:space="preserve">2.1 The Failure of Standard Tissues</w:t>
      </w:r>
    </w:p>
    <w:p>
      <w:pPr>
        <w:spacing w:after="120" w:before="60"/>
        <w:jc w:val="both"/>
      </w:pPr>
      <w:r>
        <w:rPr>
          <w:rFonts w:ascii="Arial" w:cs="Arial" w:eastAsia="Arial" w:hAnsi="Arial"/>
          <w:b w:val="false"/>
          <w:bCs w:val="false"/>
          <w:color w:val="1A1A1A"/>
          <w:sz w:val="22"/>
          <w:szCs w:val="22"/>
        </w:rPr>
        <w:t xml:space="preserve">Conventional facial and personal tissues — regardless of their softness grade — are manufactured from loosely bonded wood-pulp cellulose fibres. This structure, while effective for dry use, is fundamentally incompatible with moisture. When wet, the hydrogen bonds holding the cellulose fibres together are disrupted, causing rapid deterioration into a soft, ineffective pulp. The consequence is that standard tissues cannot clean surfaces the way a wet cloth or wipe can.</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2.2 The Limitations of Wet Wipes</w:t>
      </w:r>
    </w:p>
    <w:p>
      <w:pPr>
        <w:spacing w:after="120" w:before="60"/>
        <w:jc w:val="both"/>
      </w:pPr>
      <w:r>
        <w:rPr>
          <w:rFonts w:ascii="Arial" w:cs="Arial" w:eastAsia="Arial" w:hAnsi="Arial"/>
          <w:b w:val="false"/>
          <w:bCs w:val="false"/>
          <w:color w:val="1A1A1A"/>
          <w:sz w:val="22"/>
          <w:szCs w:val="22"/>
        </w:rPr>
        <w:t xml:space="preserve">Pre-moistened wet wipes solve the cleaning effectiveness problem but introduce a distinct set of new problems:</w:t>
      </w:r>
    </w:p>
    <w:p>
      <w:pPr>
        <w:pStyle w:val="ListParagraph"/>
        <w:numPr>
          <w:ilvl w:val="0"/>
          <w:numId w:val="2"/>
        </w:numPr>
        <w:spacing w:after="40" w:before="40"/>
      </w:pPr>
      <w:r>
        <w:rPr>
          <w:rFonts w:ascii="Arial" w:cs="Arial" w:eastAsia="Arial" w:hAnsi="Arial"/>
          <w:color w:val="1A1A1A"/>
          <w:sz w:val="22"/>
          <w:szCs w:val="22"/>
        </w:rPr>
        <w:t xml:space="preserve">They require preservative chemicals (e.g., methylisothiazolinone, phenoxyethanol) to prevent microbial growth during shelf storage. These are known skin sensitisers and allergens for a significant portion of the population.</w:t>
      </w:r>
    </w:p>
    <w:p>
      <w:pPr>
        <w:pStyle w:val="ListParagraph"/>
        <w:numPr>
          <w:ilvl w:val="0"/>
          <w:numId w:val="2"/>
        </w:numPr>
        <w:spacing w:after="40" w:before="40"/>
      </w:pPr>
      <w:r>
        <w:rPr>
          <w:rFonts w:ascii="Arial" w:cs="Arial" w:eastAsia="Arial" w:hAnsi="Arial"/>
          <w:color w:val="1A1A1A"/>
          <w:sz w:val="22"/>
          <w:szCs w:val="22"/>
        </w:rPr>
        <w:t xml:space="preserve">They are typically manufactured from synthetic nonwoven polyester or polypropylene — materials that are not biodegradable and persist in the environment for decades.</w:t>
      </w:r>
    </w:p>
    <w:p>
      <w:pPr>
        <w:pStyle w:val="ListParagraph"/>
        <w:numPr>
          <w:ilvl w:val="0"/>
          <w:numId w:val="2"/>
        </w:numPr>
        <w:spacing w:after="40" w:before="40"/>
      </w:pPr>
      <w:r>
        <w:rPr>
          <w:rFonts w:ascii="Arial" w:cs="Arial" w:eastAsia="Arial" w:hAnsi="Arial"/>
          <w:color w:val="1A1A1A"/>
          <w:sz w:val="22"/>
          <w:szCs w:val="22"/>
        </w:rPr>
        <w:t xml:space="preserve">Their bulk packaging (sealed plastic tubs or flow-wrap pouches) is difficult to recycle.</w:t>
      </w:r>
    </w:p>
    <w:p>
      <w:pPr>
        <w:pStyle w:val="ListParagraph"/>
        <w:numPr>
          <w:ilvl w:val="0"/>
          <w:numId w:val="2"/>
        </w:numPr>
        <w:spacing w:after="40" w:before="40"/>
      </w:pPr>
      <w:r>
        <w:rPr>
          <w:rFonts w:ascii="Arial" w:cs="Arial" w:eastAsia="Arial" w:hAnsi="Arial"/>
          <w:color w:val="1A1A1A"/>
          <w:sz w:val="22"/>
          <w:szCs w:val="22"/>
        </w:rPr>
        <w:t xml:space="preserve">Once opened, the product shelf life is limited — packs dry out or degrade.</w:t>
      </w:r>
    </w:p>
    <w:p>
      <w:pPr>
        <w:pStyle w:val="ListParagraph"/>
        <w:numPr>
          <w:ilvl w:val="0"/>
          <w:numId w:val="2"/>
        </w:numPr>
        <w:spacing w:after="40" w:before="40"/>
      </w:pPr>
      <w:r>
        <w:rPr>
          <w:rFonts w:ascii="Arial" w:cs="Arial" w:eastAsia="Arial" w:hAnsi="Arial"/>
          <w:color w:val="1A1A1A"/>
          <w:sz w:val="22"/>
          <w:szCs w:val="22"/>
        </w:rPr>
        <w:t xml:space="preserve">Per-unit cost is high relative to dry tissue formats.</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2.3 The Innovation Gap</w:t>
      </w:r>
    </w:p>
    <w:p>
      <w:pPr>
        <w:spacing w:after="120" w:before="60"/>
        <w:jc w:val="both"/>
      </w:pPr>
      <w:r>
        <w:rPr>
          <w:rFonts w:ascii="Arial" w:cs="Arial" w:eastAsia="Arial" w:hAnsi="Arial"/>
          <w:b w:val="false"/>
          <w:bCs w:val="false"/>
          <w:color w:val="1A1A1A"/>
          <w:sz w:val="22"/>
          <w:szCs w:val="22"/>
        </w:rPr>
        <w:t xml:space="preserve">There is currently no mainstream product that combines: (a) the structural integrity and cleaning effectiveness of a wet wipe, with (b) the dry-storage simplicity of a tissue, and (c) a fully natural, preservative-free, biodegradable formulation. AquaLeaf™ is designed to occupy this gap.</w:t>
      </w:r>
    </w:p>
    <w:p>
      <w:pPr>
        <w:spacing w:after="0" w:before="100"/>
      </w:pPr>
      <w:r>
        <w:t xml:space="preserve"/>
      </w:r>
    </w:p>
    <w:p>
      <w:pPr>
        <w:pStyle w:val="Heading1"/>
        <w:pBdr>
          <w:bottom w:val="single" w:color="1A6B3C" w:sz="8" w:space="6"/>
        </w:pBdr>
        <w:spacing w:after="180" w:before="360"/>
      </w:pPr>
      <w:r>
        <w:rPr>
          <w:rFonts w:ascii="Arial" w:cs="Arial" w:eastAsia="Arial" w:hAnsi="Arial"/>
          <w:b/>
          <w:bCs/>
          <w:color w:val="1A6B3C"/>
          <w:sz w:val="36"/>
          <w:szCs w:val="36"/>
        </w:rPr>
        <w:t xml:space="preserve">3. Product Concept &amp; Innovation</w:t>
      </w:r>
    </w:p>
    <w:p>
      <w:pPr>
        <w:pStyle w:val="Heading2"/>
        <w:spacing w:after="120" w:before="280"/>
      </w:pPr>
      <w:r>
        <w:rPr>
          <w:rFonts w:ascii="Arial" w:cs="Arial" w:eastAsia="Arial" w:hAnsi="Arial"/>
          <w:b/>
          <w:bCs/>
          <w:color w:val="2E8B57"/>
          <w:sz w:val="28"/>
          <w:szCs w:val="28"/>
        </w:rPr>
        <w:t xml:space="preserve">3.1 Core Concept</w:t>
      </w:r>
    </w:p>
    <w:p>
      <w:pPr>
        <w:spacing w:after="120" w:before="60"/>
        <w:jc w:val="both"/>
      </w:pPr>
      <w:r>
        <w:rPr>
          <w:rFonts w:ascii="Arial" w:cs="Arial" w:eastAsia="Arial" w:hAnsi="Arial"/>
          <w:b w:val="false"/>
          <w:bCs w:val="false"/>
          <w:color w:val="1A1A1A"/>
          <w:sz w:val="22"/>
          <w:szCs w:val="22"/>
        </w:rPr>
        <w:t xml:space="preserve">AquaLeaf™ is a dry nonwoven wipe made from a blend of natural fibres engineered to: remain structurally stable when exposed to water, absorb water rapidly and evenly, feel gentle against skin, and biodegrade fully after disposal.</w:t>
      </w:r>
    </w:p>
    <w:p>
      <w:pPr>
        <w:spacing w:after="0" w:before="100"/>
      </w:pPr>
      <w:r>
        <w:t xml:space="preserve"/>
      </w:r>
    </w:p>
    <w:p>
      <w:pPr>
        <w:spacing w:after="120" w:before="60"/>
        <w:jc w:val="both"/>
      </w:pPr>
      <w:r>
        <w:rPr>
          <w:rFonts w:ascii="Arial" w:cs="Arial" w:eastAsia="Arial" w:hAnsi="Arial"/>
          <w:b w:val="false"/>
          <w:bCs w:val="false"/>
          <w:color w:val="1A1A1A"/>
          <w:sz w:val="22"/>
          <w:szCs w:val="22"/>
        </w:rPr>
        <w:t xml:space="preserve">The product is stored and sold completely dry, meaning no preservatives are required. The consumer adds water at the point of use — from a tap, bottle, or complementary water sachet — and the wipe activates within seconds into a moist, effective cleaning cloth.</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3.2 Key Differentiators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Feature</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Conventional Wet Wipe</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AquaLeaf™</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Storage format</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Pre-moistened, sealed</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Dry — activated by user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Preservatives required</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Yes</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Material</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Synthetic (polyester/PP)</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Natural fibres (biodegradable)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Biodegradable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No</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Shelf life after opening</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Limited (dries out)</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Indefinite (dry storage)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Skin safety</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Chemical sensitisers present</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100% natural, allergen-free</w:t>
            </w:r>
          </w:p>
        </w:tc>
      </w:tr>
    </w:tbl>
    <w:p>
      <w:pPr>
        <w:spacing w:after="0" w:before="200"/>
      </w:pPr>
      <w:r>
        <w:t xml:space="preserve"/>
      </w:r>
    </w:p>
    <w:p>
      <w:pPr>
        <w:pStyle w:val="Heading2"/>
        <w:spacing w:after="120" w:before="280"/>
      </w:pPr>
      <w:r>
        <w:rPr>
          <w:rFonts w:ascii="Arial" w:cs="Arial" w:eastAsia="Arial" w:hAnsi="Arial"/>
          <w:b/>
          <w:bCs/>
          <w:color w:val="2E8B57"/>
          <w:sz w:val="28"/>
          <w:szCs w:val="28"/>
        </w:rPr>
        <w:t xml:space="preserve">3.3 User Experience Flow</w:t>
      </w:r>
    </w:p>
    <w:p>
      <w:pPr>
        <w:pStyle w:val="ListParagraph"/>
        <w:numPr>
          <w:ilvl w:val="0"/>
          <w:numId w:val="3"/>
        </w:numPr>
        <w:spacing w:after="40" w:before="40"/>
      </w:pPr>
      <w:r>
        <w:rPr>
          <w:rFonts w:ascii="Arial" w:cs="Arial" w:eastAsia="Arial" w:hAnsi="Arial"/>
          <w:color w:val="1A1A1A"/>
          <w:sz w:val="22"/>
          <w:szCs w:val="22"/>
        </w:rPr>
        <w:t xml:space="preserve">Consumer pulls a single AquaLeaf™ sheet from the dry roll or pack.</w:t>
      </w:r>
    </w:p>
    <w:p>
      <w:pPr>
        <w:pStyle w:val="ListParagraph"/>
        <w:numPr>
          <w:ilvl w:val="0"/>
          <w:numId w:val="3"/>
        </w:numPr>
        <w:spacing w:after="40" w:before="40"/>
      </w:pPr>
      <w:r>
        <w:rPr>
          <w:rFonts w:ascii="Arial" w:cs="Arial" w:eastAsia="Arial" w:hAnsi="Arial"/>
          <w:color w:val="1A1A1A"/>
          <w:sz w:val="22"/>
          <w:szCs w:val="22"/>
        </w:rPr>
        <w:t xml:space="preserve">Consumer adds a small amount of water — from a tap, bottle, or included water sachet.</w:t>
      </w:r>
    </w:p>
    <w:p>
      <w:pPr>
        <w:pStyle w:val="ListParagraph"/>
        <w:numPr>
          <w:ilvl w:val="0"/>
          <w:numId w:val="3"/>
        </w:numPr>
        <w:spacing w:after="40" w:before="40"/>
      </w:pPr>
      <w:r>
        <w:rPr>
          <w:rFonts w:ascii="Arial" w:cs="Arial" w:eastAsia="Arial" w:hAnsi="Arial"/>
          <w:color w:val="1A1A1A"/>
          <w:sz w:val="22"/>
          <w:szCs w:val="22"/>
        </w:rPr>
        <w:t xml:space="preserve">The sheet absorbs the water within 3–5 seconds, becoming uniformly moist.</w:t>
      </w:r>
    </w:p>
    <w:p>
      <w:pPr>
        <w:pStyle w:val="ListParagraph"/>
        <w:numPr>
          <w:ilvl w:val="0"/>
          <w:numId w:val="3"/>
        </w:numPr>
        <w:spacing w:after="40" w:before="40"/>
      </w:pPr>
      <w:r>
        <w:rPr>
          <w:rFonts w:ascii="Arial" w:cs="Arial" w:eastAsia="Arial" w:hAnsi="Arial"/>
          <w:color w:val="1A1A1A"/>
          <w:sz w:val="22"/>
          <w:szCs w:val="22"/>
        </w:rPr>
        <w:t xml:space="preserve">Consumer uses the activated wipe for cleaning — face, hands, body, or surface.</w:t>
      </w:r>
    </w:p>
    <w:p>
      <w:pPr>
        <w:pStyle w:val="ListParagraph"/>
        <w:numPr>
          <w:ilvl w:val="0"/>
          <w:numId w:val="3"/>
        </w:numPr>
        <w:spacing w:after="40" w:before="40"/>
      </w:pPr>
      <w:r>
        <w:rPr>
          <w:rFonts w:ascii="Arial" w:cs="Arial" w:eastAsia="Arial" w:hAnsi="Arial"/>
          <w:color w:val="1A1A1A"/>
          <w:sz w:val="22"/>
          <w:szCs w:val="22"/>
        </w:rPr>
        <w:t xml:space="preserve">After use, the wipe is disposed of — it biodegrades fully within weeks.</w:t>
      </w:r>
    </w:p>
    <w:p>
      <w:pPr>
        <w:spacing w:after="0" w:before="100"/>
      </w:pPr>
      <w:r>
        <w:t xml:space="preserve"/>
      </w:r>
    </w:p>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4. Materials Science &amp; Fibre Analysis</w:t>
      </w:r>
    </w:p>
    <w:p>
      <w:pPr>
        <w:pStyle w:val="Heading2"/>
        <w:spacing w:after="120" w:before="280"/>
      </w:pPr>
      <w:r>
        <w:rPr>
          <w:rFonts w:ascii="Arial" w:cs="Arial" w:eastAsia="Arial" w:hAnsi="Arial"/>
          <w:b/>
          <w:bCs/>
          <w:color w:val="2E8B57"/>
          <w:sz w:val="28"/>
          <w:szCs w:val="28"/>
        </w:rPr>
        <w:t xml:space="preserve">4.1 Core Design Challenge</w:t>
      </w:r>
    </w:p>
    <w:p>
      <w:pPr>
        <w:spacing w:after="120" w:before="60"/>
        <w:jc w:val="both"/>
      </w:pPr>
      <w:r>
        <w:rPr>
          <w:rFonts w:ascii="Arial" w:cs="Arial" w:eastAsia="Arial" w:hAnsi="Arial"/>
          <w:b w:val="false"/>
          <w:bCs w:val="false"/>
          <w:color w:val="1A1A1A"/>
          <w:sz w:val="22"/>
          <w:szCs w:val="22"/>
        </w:rPr>
        <w:t xml:space="preserve">The fundamental engineering challenge of AquaLeaf™ is selecting a natural fibre — or blend of fibres — that satisfies all of the following simultaneously: structural integrity when wet (does not pulp), high water absorption speed, skin-safe softness, full biodegradability, and processability into a thin nonwoven sheet format.</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4.2 Proposed Primary Fibres</w:t>
      </w:r>
    </w:p>
    <w:p>
      <w:pPr>
        <w:pStyle w:val="Heading3"/>
        <w:spacing w:after="80" w:before="200"/>
      </w:pPr>
      <w:r>
        <w:rPr>
          <w:rFonts w:ascii="Arial" w:cs="Arial" w:eastAsia="Arial" w:hAnsi="Arial"/>
          <w:b/>
          <w:bCs/>
          <w:color w:val="444444"/>
          <w:sz w:val="24"/>
          <w:szCs w:val="24"/>
        </w:rPr>
        <w:t xml:space="preserve">4.2.1 Bamboo Fibre — Primary Candidate</w:t>
      </w:r>
    </w:p>
    <w:p>
      <w:pPr>
        <w:spacing w:after="120" w:before="60"/>
        <w:jc w:val="both"/>
      </w:pPr>
      <w:r>
        <w:rPr>
          <w:rFonts w:ascii="Arial" w:cs="Arial" w:eastAsia="Arial" w:hAnsi="Arial"/>
          <w:b w:val="false"/>
          <w:bCs w:val="false"/>
          <w:color w:val="1A1A1A"/>
          <w:sz w:val="22"/>
          <w:szCs w:val="22"/>
        </w:rPr>
        <w:t xml:space="preserve">Bamboo-derived nonwoven fibre is the leading candidate for AquaLeaf™ based on its comprehensive performance profile. Bamboo grows without pesticides, requires no irrigation, and regenerates from its root system. When processed into a nonwoven format via hydroentanglement (spunlace), bamboo fibre produces sheets that are exceptionally soft, structurally stable when wet, and highly absorbent.</w:t>
      </w:r>
    </w:p>
    <w:p>
      <w:pPr>
        <w:pStyle w:val="ListParagraph"/>
        <w:numPr>
          <w:ilvl w:val="0"/>
          <w:numId w:val="2"/>
        </w:numPr>
        <w:spacing w:after="40" w:before="40"/>
      </w:pPr>
      <w:r>
        <w:rPr>
          <w:rFonts w:ascii="Arial" w:cs="Arial" w:eastAsia="Arial" w:hAnsi="Arial"/>
          <w:color w:val="1A1A1A"/>
          <w:sz w:val="22"/>
          <w:szCs w:val="22"/>
        </w:rPr>
        <w:t xml:space="preserve">Softness: Comparable to cashmere; already used in premium baby wipes</w:t>
      </w:r>
    </w:p>
    <w:p>
      <w:pPr>
        <w:pStyle w:val="ListParagraph"/>
        <w:numPr>
          <w:ilvl w:val="0"/>
          <w:numId w:val="2"/>
        </w:numPr>
        <w:spacing w:after="40" w:before="40"/>
      </w:pPr>
      <w:r>
        <w:rPr>
          <w:rFonts w:ascii="Arial" w:cs="Arial" w:eastAsia="Arial" w:hAnsi="Arial"/>
          <w:color w:val="1A1A1A"/>
          <w:sz w:val="22"/>
          <w:szCs w:val="22"/>
        </w:rPr>
        <w:t xml:space="preserve">Wet integrity: Maintains structure when moistened in hydroentangled form</w:t>
      </w:r>
    </w:p>
    <w:p>
      <w:pPr>
        <w:pStyle w:val="ListParagraph"/>
        <w:numPr>
          <w:ilvl w:val="0"/>
          <w:numId w:val="2"/>
        </w:numPr>
        <w:spacing w:after="40" w:before="40"/>
      </w:pPr>
      <w:r>
        <w:rPr>
          <w:rFonts w:ascii="Arial" w:cs="Arial" w:eastAsia="Arial" w:hAnsi="Arial"/>
          <w:color w:val="1A1A1A"/>
          <w:sz w:val="22"/>
          <w:szCs w:val="22"/>
        </w:rPr>
        <w:t xml:space="preserve">Absorption: Absorbs water approximately 3x faster than cotton</w:t>
      </w:r>
    </w:p>
    <w:p>
      <w:pPr>
        <w:pStyle w:val="ListParagraph"/>
        <w:numPr>
          <w:ilvl w:val="0"/>
          <w:numId w:val="2"/>
        </w:numPr>
        <w:spacing w:after="40" w:before="40"/>
      </w:pPr>
      <w:r>
        <w:rPr>
          <w:rFonts w:ascii="Arial" w:cs="Arial" w:eastAsia="Arial" w:hAnsi="Arial"/>
          <w:color w:val="1A1A1A"/>
          <w:sz w:val="22"/>
          <w:szCs w:val="22"/>
        </w:rPr>
        <w:t xml:space="preserve">Biodegradability: Full composting within 4–8 weeks in standard conditions</w:t>
      </w:r>
    </w:p>
    <w:p>
      <w:pPr>
        <w:pStyle w:val="ListParagraph"/>
        <w:numPr>
          <w:ilvl w:val="0"/>
          <w:numId w:val="2"/>
        </w:numPr>
        <w:spacing w:after="40" w:before="40"/>
      </w:pPr>
      <w:r>
        <w:rPr>
          <w:rFonts w:ascii="Arial" w:cs="Arial" w:eastAsia="Arial" w:hAnsi="Arial"/>
          <w:color w:val="1A1A1A"/>
          <w:sz w:val="22"/>
          <w:szCs w:val="22"/>
        </w:rPr>
        <w:t xml:space="preserve">Processing note: Bamboo lyocell (closed-loop solvent process) is the most environmentally sound processing route</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4.2.2 Cotton Nonwoven — Secondary Fibre / Structural Blend</w:t>
      </w:r>
    </w:p>
    <w:p>
      <w:pPr>
        <w:spacing w:after="120" w:before="60"/>
        <w:jc w:val="both"/>
      </w:pPr>
      <w:r>
        <w:rPr>
          <w:rFonts w:ascii="Arial" w:cs="Arial" w:eastAsia="Arial" w:hAnsi="Arial"/>
          <w:b w:val="false"/>
          <w:bCs w:val="false"/>
          <w:color w:val="1A1A1A"/>
          <w:sz w:val="22"/>
          <w:szCs w:val="22"/>
        </w:rPr>
        <w:t xml:space="preserve">Hydroentangled (spunlace) cotton nonwoven is a well-characterised industrial material with excellent skin compatibility and absorption. In its raw pulp form cotton disintegrates when wet; however, when fibres are mechanically locked via hydroentanglement without adhesives, the resulting sheet maintains integrity under moisture exposure. Cotton provides the most proven manufacturing pathway and acts as the structural backbone in the AquaLeaf™ blend.</w:t>
      </w:r>
    </w:p>
    <w:p>
      <w:pPr>
        <w:pStyle w:val="ListParagraph"/>
        <w:numPr>
          <w:ilvl w:val="0"/>
          <w:numId w:val="2"/>
        </w:numPr>
        <w:spacing w:after="40" w:before="40"/>
      </w:pPr>
      <w:r>
        <w:rPr>
          <w:rFonts w:ascii="Arial" w:cs="Arial" w:eastAsia="Arial" w:hAnsi="Arial"/>
          <w:color w:val="1A1A1A"/>
          <w:sz w:val="22"/>
          <w:szCs w:val="22"/>
        </w:rPr>
        <w:t xml:space="preserve">Softness: High; universally skin-compatible</w:t>
      </w:r>
    </w:p>
    <w:p>
      <w:pPr>
        <w:pStyle w:val="ListParagraph"/>
        <w:numPr>
          <w:ilvl w:val="0"/>
          <w:numId w:val="2"/>
        </w:numPr>
        <w:spacing w:after="40" w:before="40"/>
      </w:pPr>
      <w:r>
        <w:rPr>
          <w:rFonts w:ascii="Arial" w:cs="Arial" w:eastAsia="Arial" w:hAnsi="Arial"/>
          <w:color w:val="1A1A1A"/>
          <w:sz w:val="22"/>
          <w:szCs w:val="22"/>
        </w:rPr>
        <w:t xml:space="preserve">Wet integrity: Good when hydroentangled (not in pulp form)</w:t>
      </w:r>
    </w:p>
    <w:p>
      <w:pPr>
        <w:pStyle w:val="ListParagraph"/>
        <w:numPr>
          <w:ilvl w:val="0"/>
          <w:numId w:val="2"/>
        </w:numPr>
        <w:spacing w:after="40" w:before="40"/>
      </w:pPr>
      <w:r>
        <w:rPr>
          <w:rFonts w:ascii="Arial" w:cs="Arial" w:eastAsia="Arial" w:hAnsi="Arial"/>
          <w:color w:val="1A1A1A"/>
          <w:sz w:val="22"/>
          <w:szCs w:val="22"/>
        </w:rPr>
        <w:t xml:space="preserve">Absorption: High — cotton is naturally highly absorbent</w:t>
      </w:r>
    </w:p>
    <w:p>
      <w:pPr>
        <w:pStyle w:val="ListParagraph"/>
        <w:numPr>
          <w:ilvl w:val="0"/>
          <w:numId w:val="2"/>
        </w:numPr>
        <w:spacing w:after="40" w:before="40"/>
      </w:pPr>
      <w:r>
        <w:rPr>
          <w:rFonts w:ascii="Arial" w:cs="Arial" w:eastAsia="Arial" w:hAnsi="Arial"/>
          <w:color w:val="1A1A1A"/>
          <w:sz w:val="22"/>
          <w:szCs w:val="22"/>
        </w:rPr>
        <w:t xml:space="preserve">Biodegradability: Full — 1 to 5 months depending on conditions</w:t>
      </w:r>
    </w:p>
    <w:p>
      <w:pPr>
        <w:pStyle w:val="ListParagraph"/>
        <w:numPr>
          <w:ilvl w:val="0"/>
          <w:numId w:val="2"/>
        </w:numPr>
        <w:spacing w:after="40" w:before="40"/>
      </w:pPr>
      <w:r>
        <w:rPr>
          <w:rFonts w:ascii="Arial" w:cs="Arial" w:eastAsia="Arial" w:hAnsi="Arial"/>
          <w:color w:val="1A1A1A"/>
          <w:sz w:val="22"/>
          <w:szCs w:val="22"/>
        </w:rPr>
        <w:t xml:space="preserve">Caution: Conventional cotton farming is water-intensive; organic cotton is preferred</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4.2.3 Lyocell (Tencel™ / Generic Lyocell) — Performance-Enhancing Additive</w:t>
      </w:r>
    </w:p>
    <w:p>
      <w:pPr>
        <w:spacing w:after="120" w:before="60"/>
        <w:jc w:val="both"/>
      </w:pPr>
      <w:r>
        <w:rPr>
          <w:rFonts w:ascii="Arial" w:cs="Arial" w:eastAsia="Arial" w:hAnsi="Arial"/>
          <w:b w:val="false"/>
          <w:bCs w:val="false"/>
          <w:color w:val="1A1A1A"/>
          <w:sz w:val="22"/>
          <w:szCs w:val="22"/>
        </w:rPr>
        <w:t xml:space="preserve">Lyocell is produced from wood cellulose using a closed-loop solvent process with greater than 99% solvent recovery — one of the most environmentally sound industrial processes for any textile fibre. Its performance profile is exceptional: lyocell is notably stronger when wet than when dry, a rare property that makes it ideal for water-activated applications.</w:t>
      </w:r>
    </w:p>
    <w:p>
      <w:pPr>
        <w:pStyle w:val="ListParagraph"/>
        <w:numPr>
          <w:ilvl w:val="0"/>
          <w:numId w:val="2"/>
        </w:numPr>
        <w:spacing w:after="40" w:before="40"/>
      </w:pPr>
      <w:r>
        <w:rPr>
          <w:rFonts w:ascii="Arial" w:cs="Arial" w:eastAsia="Arial" w:hAnsi="Arial"/>
          <w:color w:val="1A1A1A"/>
          <w:sz w:val="22"/>
          <w:szCs w:val="22"/>
        </w:rPr>
        <w:t xml:space="preserve">Softness: Among the softest fibre types in existence</w:t>
      </w:r>
    </w:p>
    <w:p>
      <w:pPr>
        <w:pStyle w:val="ListParagraph"/>
        <w:numPr>
          <w:ilvl w:val="0"/>
          <w:numId w:val="2"/>
        </w:numPr>
        <w:spacing w:after="40" w:before="40"/>
      </w:pPr>
      <w:r>
        <w:rPr>
          <w:rFonts w:ascii="Arial" w:cs="Arial" w:eastAsia="Arial" w:hAnsi="Arial"/>
          <w:color w:val="1A1A1A"/>
          <w:sz w:val="22"/>
          <w:szCs w:val="22"/>
        </w:rPr>
        <w:t xml:space="preserve">Wet integrity: Outstanding — actually increases in strength when moistened</w:t>
      </w:r>
    </w:p>
    <w:p>
      <w:pPr>
        <w:pStyle w:val="ListParagraph"/>
        <w:numPr>
          <w:ilvl w:val="0"/>
          <w:numId w:val="2"/>
        </w:numPr>
        <w:spacing w:after="40" w:before="40"/>
      </w:pPr>
      <w:r>
        <w:rPr>
          <w:rFonts w:ascii="Arial" w:cs="Arial" w:eastAsia="Arial" w:hAnsi="Arial"/>
          <w:color w:val="1A1A1A"/>
          <w:sz w:val="22"/>
          <w:szCs w:val="22"/>
        </w:rPr>
        <w:t xml:space="preserve">Absorption: Very high, with rapid uptake</w:t>
      </w:r>
    </w:p>
    <w:p>
      <w:pPr>
        <w:pStyle w:val="ListParagraph"/>
        <w:numPr>
          <w:ilvl w:val="0"/>
          <w:numId w:val="2"/>
        </w:numPr>
        <w:spacing w:after="40" w:before="40"/>
      </w:pPr>
      <w:r>
        <w:rPr>
          <w:rFonts w:ascii="Arial" w:cs="Arial" w:eastAsia="Arial" w:hAnsi="Arial"/>
          <w:color w:val="1A1A1A"/>
          <w:sz w:val="22"/>
          <w:szCs w:val="22"/>
        </w:rPr>
        <w:t xml:space="preserve">Biodegradability: Full — degrades within weeks in soil</w:t>
      </w:r>
    </w:p>
    <w:p>
      <w:pPr>
        <w:pStyle w:val="ListParagraph"/>
        <w:numPr>
          <w:ilvl w:val="0"/>
          <w:numId w:val="2"/>
        </w:numPr>
        <w:spacing w:after="40" w:before="40"/>
      </w:pPr>
      <w:r>
        <w:rPr>
          <w:rFonts w:ascii="Arial" w:cs="Arial" w:eastAsia="Arial" w:hAnsi="Arial"/>
          <w:color w:val="1A1A1A"/>
          <w:sz w:val="22"/>
          <w:szCs w:val="22"/>
        </w:rPr>
        <w:t xml:space="preserve">Consideration: Supply chain is more concentrated (primarily European/Austrian); licencing and procurement require supply agreement</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4.2.4 Banana Fibre — Secondary Natural Candidate</w:t>
      </w:r>
    </w:p>
    <w:p>
      <w:pPr>
        <w:spacing w:after="120" w:before="60"/>
        <w:jc w:val="both"/>
      </w:pPr>
      <w:r>
        <w:rPr>
          <w:rFonts w:ascii="Arial" w:cs="Arial" w:eastAsia="Arial" w:hAnsi="Arial"/>
          <w:b w:val="false"/>
          <w:bCs w:val="false"/>
          <w:color w:val="1A1A1A"/>
          <w:sz w:val="22"/>
          <w:szCs w:val="22"/>
        </w:rPr>
        <w:t xml:space="preserve">Banana fibre is extracted from the pseudostem of the Musa (banana) plant — the structural outer layers that are discarded after fruit harvest, making it a true agricultural waste stream. East Africa, including Kenya, produces significant volumes of banana, creating a potential local supply chain opportunity.</w:t>
      </w:r>
    </w:p>
    <w:p>
      <w:pPr>
        <w:pStyle w:val="ListParagraph"/>
        <w:numPr>
          <w:ilvl w:val="0"/>
          <w:numId w:val="2"/>
        </w:numPr>
        <w:spacing w:after="40" w:before="40"/>
      </w:pPr>
      <w:r>
        <w:rPr>
          <w:rFonts w:ascii="Arial" w:cs="Arial" w:eastAsia="Arial" w:hAnsi="Arial"/>
          <w:color w:val="1A1A1A"/>
          <w:sz w:val="22"/>
          <w:szCs w:val="22"/>
        </w:rPr>
        <w:t xml:space="preserve">Softness: Moderate in outer-layer fibres; inner-layer fibres are finer and softer</w:t>
      </w:r>
    </w:p>
    <w:p>
      <w:pPr>
        <w:pStyle w:val="ListParagraph"/>
        <w:numPr>
          <w:ilvl w:val="0"/>
          <w:numId w:val="2"/>
        </w:numPr>
        <w:spacing w:after="40" w:before="40"/>
      </w:pPr>
      <w:r>
        <w:rPr>
          <w:rFonts w:ascii="Arial" w:cs="Arial" w:eastAsia="Arial" w:hAnsi="Arial"/>
          <w:color w:val="1A1A1A"/>
          <w:sz w:val="22"/>
          <w:szCs w:val="22"/>
        </w:rPr>
        <w:t xml:space="preserve">Wet integrity: Good — cellulose structure is denser than wood pulp</w:t>
      </w:r>
    </w:p>
    <w:p>
      <w:pPr>
        <w:pStyle w:val="ListParagraph"/>
        <w:numPr>
          <w:ilvl w:val="0"/>
          <w:numId w:val="2"/>
        </w:numPr>
        <w:spacing w:after="40" w:before="40"/>
      </w:pPr>
      <w:r>
        <w:rPr>
          <w:rFonts w:ascii="Arial" w:cs="Arial" w:eastAsia="Arial" w:hAnsi="Arial"/>
          <w:color w:val="1A1A1A"/>
          <w:sz w:val="22"/>
          <w:szCs w:val="22"/>
        </w:rPr>
        <w:t xml:space="preserve">Absorption: Good to high depending on extraction method</w:t>
      </w:r>
    </w:p>
    <w:p>
      <w:pPr>
        <w:pStyle w:val="ListParagraph"/>
        <w:numPr>
          <w:ilvl w:val="0"/>
          <w:numId w:val="2"/>
        </w:numPr>
        <w:spacing w:after="40" w:before="40"/>
      </w:pPr>
      <w:r>
        <w:rPr>
          <w:rFonts w:ascii="Arial" w:cs="Arial" w:eastAsia="Arial" w:hAnsi="Arial"/>
          <w:color w:val="1A1A1A"/>
          <w:sz w:val="22"/>
          <w:szCs w:val="22"/>
        </w:rPr>
        <w:t xml:space="preserve">Biodegradability: Full — rapid degradation</w:t>
      </w:r>
    </w:p>
    <w:p>
      <w:pPr>
        <w:pStyle w:val="ListParagraph"/>
        <w:numPr>
          <w:ilvl w:val="0"/>
          <w:numId w:val="2"/>
        </w:numPr>
        <w:spacing w:after="40" w:before="40"/>
      </w:pPr>
      <w:r>
        <w:rPr>
          <w:rFonts w:ascii="Arial" w:cs="Arial" w:eastAsia="Arial" w:hAnsi="Arial"/>
          <w:color w:val="1A1A1A"/>
          <w:sz w:val="22"/>
          <w:szCs w:val="22"/>
        </w:rPr>
        <w:t xml:space="preserve">Challenge: Achieving tissue-level softness requires inner-fibre extraction; outer fibres require processing to reduce coarseness</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4.2.5 Sisal — Specialised Scrub Variant</w:t>
      </w:r>
    </w:p>
    <w:p>
      <w:pPr>
        <w:spacing w:after="120" w:before="60"/>
        <w:jc w:val="both"/>
      </w:pPr>
      <w:r>
        <w:rPr>
          <w:rFonts w:ascii="Arial" w:cs="Arial" w:eastAsia="Arial" w:hAnsi="Arial"/>
          <w:b w:val="false"/>
          <w:bCs w:val="false"/>
          <w:color w:val="1A1A1A"/>
          <w:sz w:val="22"/>
          <w:szCs w:val="22"/>
        </w:rPr>
        <w:t xml:space="preserve">Sisal (Agave sisalana) is one of Kenya's most significant agricultural exports, with established processing infrastructure already present in the country. However, sisal's inherent coarseness and stiffness make it inappropriate for facial or general skin-contact applications without significant — and potentially cost-prohibitive — softening treatment. Its excellent wet strength and durability do make it a viable candidate for a specialised scrubbing or exfoliating variant of AquaLeaf™ designed for surface cleaning or body exfoliation rather than facial use.</w:t>
      </w:r>
    </w:p>
    <w:p>
      <w:pPr>
        <w:pStyle w:val="ListParagraph"/>
        <w:numPr>
          <w:ilvl w:val="0"/>
          <w:numId w:val="2"/>
        </w:numPr>
        <w:spacing w:after="40" w:before="40"/>
      </w:pPr>
      <w:r>
        <w:rPr>
          <w:rFonts w:ascii="Arial" w:cs="Arial" w:eastAsia="Arial" w:hAnsi="Arial"/>
          <w:color w:val="1A1A1A"/>
          <w:sz w:val="22"/>
          <w:szCs w:val="22"/>
        </w:rPr>
        <w:t xml:space="preserve">Softness: Low — requires substantial processing for skin contact</w:t>
      </w:r>
    </w:p>
    <w:p>
      <w:pPr>
        <w:pStyle w:val="ListParagraph"/>
        <w:numPr>
          <w:ilvl w:val="0"/>
          <w:numId w:val="2"/>
        </w:numPr>
        <w:spacing w:after="40" w:before="40"/>
      </w:pPr>
      <w:r>
        <w:rPr>
          <w:rFonts w:ascii="Arial" w:cs="Arial" w:eastAsia="Arial" w:hAnsi="Arial"/>
          <w:color w:val="1A1A1A"/>
          <w:sz w:val="22"/>
          <w:szCs w:val="22"/>
        </w:rPr>
        <w:t xml:space="preserve">Wet integrity: Excellent — minimal structural change when moistened</w:t>
      </w:r>
    </w:p>
    <w:p>
      <w:pPr>
        <w:pStyle w:val="ListParagraph"/>
        <w:numPr>
          <w:ilvl w:val="0"/>
          <w:numId w:val="2"/>
        </w:numPr>
        <w:spacing w:after="40" w:before="40"/>
      </w:pPr>
      <w:r>
        <w:rPr>
          <w:rFonts w:ascii="Arial" w:cs="Arial" w:eastAsia="Arial" w:hAnsi="Arial"/>
          <w:color w:val="1A1A1A"/>
          <w:sz w:val="22"/>
          <w:szCs w:val="22"/>
        </w:rPr>
        <w:t xml:space="preserve">Absorption: Moderate</w:t>
      </w:r>
    </w:p>
    <w:p>
      <w:pPr>
        <w:pStyle w:val="ListParagraph"/>
        <w:numPr>
          <w:ilvl w:val="0"/>
          <w:numId w:val="2"/>
        </w:numPr>
        <w:spacing w:after="40" w:before="40"/>
      </w:pPr>
      <w:r>
        <w:rPr>
          <w:rFonts w:ascii="Arial" w:cs="Arial" w:eastAsia="Arial" w:hAnsi="Arial"/>
          <w:color w:val="1A1A1A"/>
          <w:sz w:val="22"/>
          <w:szCs w:val="22"/>
        </w:rPr>
        <w:t xml:space="preserve">Biodegradability: Full</w:t>
      </w:r>
    </w:p>
    <w:p>
      <w:pPr>
        <w:pStyle w:val="ListParagraph"/>
        <w:numPr>
          <w:ilvl w:val="0"/>
          <w:numId w:val="2"/>
        </w:numPr>
        <w:spacing w:after="40" w:before="40"/>
      </w:pPr>
      <w:r>
        <w:rPr>
          <w:rFonts w:ascii="Arial" w:cs="Arial" w:eastAsia="Arial" w:hAnsi="Arial"/>
          <w:color w:val="1A1A1A"/>
          <w:sz w:val="22"/>
          <w:szCs w:val="22"/>
        </w:rPr>
        <w:t xml:space="preserve">Best application: AquaLeaf™ Scrub — a surface-cleaning or exfoliating sub-product</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4.3 Rejected / Conditional Candidates</w:t>
      </w:r>
    </w:p>
    <w:p>
      <w:pPr>
        <w:pStyle w:val="Heading3"/>
        <w:spacing w:after="80" w:before="200"/>
      </w:pPr>
      <w:r>
        <w:rPr>
          <w:rFonts w:ascii="Arial" w:cs="Arial" w:eastAsia="Arial" w:hAnsi="Arial"/>
          <w:b/>
          <w:bCs/>
          <w:color w:val="444444"/>
          <w:sz w:val="24"/>
          <w:szCs w:val="24"/>
        </w:rPr>
        <w:t xml:space="preserve">Pineapple Fibre (Piña)</w:t>
      </w:r>
    </w:p>
    <w:p>
      <w:pPr>
        <w:spacing w:after="120" w:before="60"/>
        <w:jc w:val="both"/>
      </w:pPr>
      <w:r>
        <w:rPr>
          <w:rFonts w:ascii="Arial" w:cs="Arial" w:eastAsia="Arial" w:hAnsi="Arial"/>
          <w:b w:val="false"/>
          <w:bCs w:val="false"/>
          <w:color w:val="1A1A1A"/>
          <w:sz w:val="22"/>
          <w:szCs w:val="22"/>
        </w:rPr>
        <w:t xml:space="preserve">Promising softness profile and biodegradability, but insufficient East African supply infrastructure and limited nonwoven processing precedent at commercial scale. Recommended for Phase 2 research once primary product is established.</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Kapok Fibre</w:t>
      </w:r>
    </w:p>
    <w:p>
      <w:pPr>
        <w:spacing w:after="120" w:before="60"/>
        <w:jc w:val="both"/>
      </w:pPr>
      <w:r>
        <w:rPr>
          <w:rFonts w:ascii="Arial" w:cs="Arial" w:eastAsia="Arial" w:hAnsi="Arial"/>
          <w:b w:val="false"/>
          <w:bCs w:val="false"/>
          <w:color w:val="1A1A1A"/>
          <w:sz w:val="22"/>
          <w:szCs w:val="22"/>
        </w:rPr>
        <w:t xml:space="preserve">Exceptionally soft but naturally hydrophobic (water-repelling) due to surface wax coating. Counter-productive for a water-activated product without surface treatment. Conditionally useful only in a blend where it contributes softness while paired with a high-absorption fibre.</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Hemp Fibre</w:t>
      </w:r>
    </w:p>
    <w:p>
      <w:pPr>
        <w:spacing w:after="120" w:before="60"/>
        <w:jc w:val="both"/>
      </w:pPr>
      <w:r>
        <w:rPr>
          <w:rFonts w:ascii="Arial" w:cs="Arial" w:eastAsia="Arial" w:hAnsi="Arial"/>
          <w:b w:val="false"/>
          <w:bCs w:val="false"/>
          <w:color w:val="1A1A1A"/>
          <w:sz w:val="22"/>
          <w:szCs w:val="22"/>
        </w:rPr>
        <w:t xml:space="preserve">Strong wet integrity, moderate softness. Regulatory complexity in some markets and coarser texture limit its suitability for skin-contact primary use. Viable as a reinforcing minor blend component.</w:t>
      </w:r>
    </w:p>
    <w:p>
      <w:pPr>
        <w:spacing w:after="0" w:before="100"/>
      </w:pPr>
      <w:r>
        <w:t xml:space="preserve"/>
      </w:r>
    </w:p>
    <w:p>
      <w:pPr>
        <w:pStyle w:val="Heading1"/>
        <w:pBdr>
          <w:bottom w:val="single" w:color="1A6B3C" w:sz="8" w:space="6"/>
        </w:pBdr>
        <w:spacing w:after="180" w:before="360"/>
      </w:pPr>
      <w:r>
        <w:rPr>
          <w:rFonts w:ascii="Arial" w:cs="Arial" w:eastAsia="Arial" w:hAnsi="Arial"/>
          <w:b/>
          <w:bCs/>
          <w:color w:val="1A6B3C"/>
          <w:sz w:val="36"/>
          <w:szCs w:val="36"/>
        </w:rPr>
        <w:t xml:space="preserve">5. Recommended Fibre Formulation</w:t>
      </w:r>
    </w:p>
    <w:p>
      <w:pPr>
        <w:pStyle w:val="Heading2"/>
        <w:spacing w:after="120" w:before="280"/>
      </w:pPr>
      <w:r>
        <w:rPr>
          <w:rFonts w:ascii="Arial" w:cs="Arial" w:eastAsia="Arial" w:hAnsi="Arial"/>
          <w:b/>
          <w:bCs/>
          <w:color w:val="2E8B57"/>
          <w:sz w:val="28"/>
          <w:szCs w:val="28"/>
        </w:rPr>
        <w:t xml:space="preserve">5.1 Primary Product — AquaLeaf™ Standard</w:t>
      </w:r>
    </w:p>
    <w:p>
      <w:pPr>
        <w:spacing w:after="120" w:before="60"/>
        <w:jc w:val="both"/>
      </w:pPr>
      <w:r>
        <w:rPr>
          <w:rFonts w:ascii="Arial" w:cs="Arial" w:eastAsia="Arial" w:hAnsi="Arial"/>
          <w:b w:val="false"/>
          <w:bCs w:val="false"/>
          <w:color w:val="1A1A1A"/>
          <w:sz w:val="22"/>
          <w:szCs w:val="22"/>
        </w:rPr>
        <w:t xml:space="preserve">Based on the analysis above, the recommended formulation for the flagship AquaLeaf™ Standard product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13"/>
        <w:gridCol w:w="3013"/>
      </w:tblGrid>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Fibre</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Proportion</w:t>
            </w:r>
          </w:p>
        </w:tc>
        <w:tc>
          <w:tcPr>
            <w:tcW w:type="dxa" w:w="2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Role</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Key Contribution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Bamboo (lyocell/spunlace)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60%</w:t>
            </w:r>
          </w:p>
        </w:tc>
        <w:tc>
          <w:tcPr>
            <w:tcW w:type="dxa" w:w="2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Primary fibre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Softness, absorption, brand story</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Cotton (hydroentangled)</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30%</w:t>
            </w:r>
          </w:p>
        </w:tc>
        <w:tc>
          <w:tcPr>
            <w:tcW w:type="dxa" w:w="2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Structural backbone</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Wet integrity, proven sheet formation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Lyocell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w:t>
            </w:r>
          </w:p>
        </w:tc>
        <w:tc>
          <w:tcPr>
            <w:tcW w:type="dxa" w:w="2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Performance booster</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Wet strength, ultra-softness</w:t>
            </w:r>
          </w:p>
        </w:tc>
      </w:tr>
    </w:tbl>
    <w:p>
      <w:pPr>
        <w:spacing w:after="0" w:before="200"/>
      </w:pPr>
      <w:r>
        <w:t xml:space="preserve"/>
      </w:r>
    </w:p>
    <w:p>
      <w:pPr>
        <w:pStyle w:val="Heading2"/>
        <w:spacing w:after="120" w:before="280"/>
      </w:pPr>
      <w:r>
        <w:rPr>
          <w:rFonts w:ascii="Arial" w:cs="Arial" w:eastAsia="Arial" w:hAnsi="Arial"/>
          <w:b/>
          <w:bCs/>
          <w:color w:val="2E8B57"/>
          <w:sz w:val="28"/>
          <w:szCs w:val="28"/>
        </w:rPr>
        <w:t xml:space="preserve">5.2 Secondary Product — AquaLeaf™ Scrub</w:t>
      </w:r>
    </w:p>
    <w:p>
      <w:pPr>
        <w:spacing w:after="120" w:before="60"/>
        <w:jc w:val="both"/>
      </w:pPr>
      <w:r>
        <w:rPr>
          <w:rFonts w:ascii="Arial" w:cs="Arial" w:eastAsia="Arial" w:hAnsi="Arial"/>
          <w:b w:val="false"/>
          <w:bCs w:val="false"/>
          <w:color w:val="1A1A1A"/>
          <w:sz w:val="22"/>
          <w:szCs w:val="22"/>
        </w:rPr>
        <w:t xml:space="preserve">A surface-cleaning and exfoliating variant utilising sisal as the primary structural fibre, blended with bamboo to moderate coarseness and improve absorption: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13"/>
        <w:gridCol w:w="3013"/>
      </w:tblGrid>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Fibre</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Proportion</w:t>
            </w:r>
          </w:p>
        </w:tc>
        <w:tc>
          <w:tcPr>
            <w:tcW w:type="dxa" w:w="2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Role</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Key Contribution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Sisal (processed)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55%</w:t>
            </w:r>
          </w:p>
        </w:tc>
        <w:tc>
          <w:tcPr>
            <w:tcW w:type="dxa" w:w="2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Primary fibre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Wet integrity, scrubbing texture, Kenyan supply chain</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Bamboo (spunlace)</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35%</w:t>
            </w:r>
          </w:p>
        </w:tc>
        <w:tc>
          <w:tcPr>
            <w:tcW w:type="dxa" w:w="2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Softening agent</w:t>
            </w:r>
          </w:p>
        </w:tc>
        <w:tc>
          <w:tcPr>
            <w:tcW w:type="dxa" w:w="3013"/>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Moderate texture, improve absorption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Cotton (hydroentangled)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w:t>
            </w:r>
          </w:p>
        </w:tc>
        <w:tc>
          <w:tcPr>
            <w:tcW w:type="dxa" w:w="2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Binder</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Sheet cohesion</w:t>
            </w:r>
          </w:p>
        </w:tc>
      </w:tr>
    </w:tbl>
    <w:p>
      <w:pPr>
        <w:spacing w:after="0" w:before="200"/>
      </w:pPr>
      <w:r>
        <w:t xml:space="preserve"/>
      </w:r>
    </w:p>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6. Comprehensive Fibre Performance Matrix</w:t>
      </w:r>
    </w:p>
    <w:p>
      <w:pPr>
        <w:spacing w:after="120" w:before="60"/>
        <w:jc w:val="both"/>
      </w:pPr>
      <w:r>
        <w:rPr>
          <w:rFonts w:ascii="Arial" w:cs="Arial" w:eastAsia="Arial" w:hAnsi="Arial"/>
          <w:b w:val="false"/>
          <w:bCs w:val="false"/>
          <w:color w:val="1A1A1A"/>
          <w:sz w:val="22"/>
          <w:szCs w:val="22"/>
        </w:rPr>
        <w:t xml:space="preserve">The following matrix evaluates all candidate fibres against the five critical performance dimensions for AquaLeaf™. Ratings are on a five-point scale (1 = Poor, 5 = Excellent).</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26"/>
      </w:tblGrid>
      <w:tr>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Fibre</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Softness</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Wet Integrity</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Absorption</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Biodegradable</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Practicality</w:t>
            </w:r>
          </w:p>
        </w:tc>
        <w:tc>
          <w:tcPr>
            <w:tcW w:type="dxa" w:w="1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Overall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Bamboo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4.6</w:t>
            </w:r>
          </w:p>
        </w:tc>
        <w:tc>
          <w:tcPr>
            <w:tcW w:type="dxa" w:w="1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4.6</w:t>
            </w:r>
          </w:p>
        </w:tc>
      </w:tr>
      <w:tr>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Lyocell</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4.6</w:t>
            </w:r>
          </w:p>
        </w:tc>
        <w:tc>
          <w:tcPr>
            <w:tcW w:type="dxa" w:w="1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4.6</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Cotton (NW)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4.6</w:t>
            </w:r>
          </w:p>
        </w:tc>
        <w:tc>
          <w:tcPr>
            <w:tcW w:type="dxa" w:w="12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4.6</w:t>
            </w:r>
          </w:p>
        </w:tc>
      </w:tr>
      <w:tr>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Pineapple</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4/5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2/5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3.4</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3.4</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Banana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3.6</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3.6</w:t>
            </w:r>
          </w:p>
        </w:tc>
      </w:tr>
      <w:tr>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Kapok</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2/5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2/5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2/5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3.2</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3.2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Hemp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4.0</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4.0</w:t>
            </w:r>
          </w:p>
        </w:tc>
      </w:tr>
      <w:tr>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Sisal</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1/5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2/5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6B3C"/>
                <w:sz w:val="20"/>
                <w:szCs w:val="20"/>
              </w:rPr>
              <w:t xml:space="preserve">5/5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color w:val="1A1A1A"/>
                <w:sz w:val="20"/>
                <w:szCs w:val="20"/>
              </w:rPr>
              <w:t xml:space="preserve">2/5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3.0</w:t>
            </w:r>
          </w:p>
        </w:tc>
        <w:tc>
          <w:tcPr>
            <w:tcW w:type="dxa" w:w="1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3.0</w:t>
            </w:r>
          </w:p>
        </w:tc>
      </w:tr>
    </w:tbl>
    <w:p>
      <w:pPr>
        <w:spacing w:after="0" w:before="200"/>
      </w:pPr>
      <w:r>
        <w:t xml:space="preserve"/>
      </w:r>
    </w:p>
    <w:p>
      <w:pPr>
        <w:pStyle w:val="Heading1"/>
        <w:pBdr>
          <w:bottom w:val="single" w:color="1A6B3C" w:sz="8" w:space="6"/>
        </w:pBdr>
        <w:spacing w:after="180" w:before="360"/>
      </w:pPr>
      <w:r>
        <w:rPr>
          <w:rFonts w:ascii="Arial" w:cs="Arial" w:eastAsia="Arial" w:hAnsi="Arial"/>
          <w:b/>
          <w:bCs/>
          <w:color w:val="1A6B3C"/>
          <w:sz w:val="36"/>
          <w:szCs w:val="36"/>
        </w:rPr>
        <w:t xml:space="preserve">7. Manufacturing Pathway</w:t>
      </w:r>
    </w:p>
    <w:p>
      <w:pPr>
        <w:pStyle w:val="Heading2"/>
        <w:spacing w:after="120" w:before="280"/>
      </w:pPr>
      <w:r>
        <w:rPr>
          <w:rFonts w:ascii="Arial" w:cs="Arial" w:eastAsia="Arial" w:hAnsi="Arial"/>
          <w:b/>
          <w:bCs/>
          <w:color w:val="2E8B57"/>
          <w:sz w:val="28"/>
          <w:szCs w:val="28"/>
        </w:rPr>
        <w:t xml:space="preserve">7.1 Production Process Overview</w:t>
      </w:r>
    </w:p>
    <w:p>
      <w:pPr>
        <w:spacing w:after="120" w:before="60"/>
        <w:jc w:val="both"/>
      </w:pPr>
      <w:r>
        <w:rPr>
          <w:rFonts w:ascii="Arial" w:cs="Arial" w:eastAsia="Arial" w:hAnsi="Arial"/>
          <w:b w:val="false"/>
          <w:bCs w:val="false"/>
          <w:color w:val="1A1A1A"/>
          <w:sz w:val="22"/>
          <w:szCs w:val="22"/>
        </w:rPr>
        <w:t xml:space="preserve">AquaLeaf™ is produced using a hydroentanglement (spunlace) process — a well-established nonwoven manufacturing method that mechanically entangles fibres using high-pressure water jets, without the need for chemical binders or adhesives. This is critical: the absence of adhesives means the product remains fully natural and biodegradable.</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Stage 1: Fibre Preparation</w:t>
      </w:r>
    </w:p>
    <w:p>
      <w:pPr>
        <w:spacing w:after="120" w:before="60"/>
        <w:jc w:val="both"/>
      </w:pPr>
      <w:r>
        <w:rPr>
          <w:rFonts w:ascii="Arial" w:cs="Arial" w:eastAsia="Arial" w:hAnsi="Arial"/>
          <w:b w:val="false"/>
          <w:bCs w:val="false"/>
          <w:color w:val="1A1A1A"/>
          <w:sz w:val="22"/>
          <w:szCs w:val="22"/>
        </w:rPr>
        <w:t xml:space="preserve">Raw bamboo is processed into lyocell or bamboo viscose fibre via the relevant solvent or wet-spinning process. Cotton is ginned, carded, and opened. Fibres are blended at the specified ratio (60/30/10) before web formation.</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Stage 2: Web Formation</w:t>
      </w:r>
    </w:p>
    <w:p>
      <w:pPr>
        <w:spacing w:after="120" w:before="60"/>
        <w:jc w:val="both"/>
      </w:pPr>
      <w:r>
        <w:rPr>
          <w:rFonts w:ascii="Arial" w:cs="Arial" w:eastAsia="Arial" w:hAnsi="Arial"/>
          <w:b w:val="false"/>
          <w:bCs w:val="false"/>
          <w:color w:val="1A1A1A"/>
          <w:sz w:val="22"/>
          <w:szCs w:val="22"/>
        </w:rPr>
        <w:t xml:space="preserve">Blended fibres are formed into a continuous web using carding and cross-lapping equipment. Web weight (gsm — grams per square metre) is controlled to achieve the target product thickness. Target basis weight for AquaLeaf™ Standard is 50–70 gsm, comparable to a premium wet wipe.</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Stage 3: Hydroentanglement</w:t>
      </w:r>
    </w:p>
    <w:p>
      <w:pPr>
        <w:spacing w:after="120" w:before="60"/>
        <w:jc w:val="both"/>
      </w:pPr>
      <w:r>
        <w:rPr>
          <w:rFonts w:ascii="Arial" w:cs="Arial" w:eastAsia="Arial" w:hAnsi="Arial"/>
          <w:b w:val="false"/>
          <w:bCs w:val="false"/>
          <w:color w:val="1A1A1A"/>
          <w:sz w:val="22"/>
          <w:szCs w:val="22"/>
        </w:rPr>
        <w:t xml:space="preserve">The formed web passes through a series of high-pressure water jet manifolds (typically 50–150 bar pressure). The jets interlock the fibres mechanically, creating a coherent, durable sheet without any adhesive. This process simultaneously provides some pre-wetting that can be used to assess sheet behaviour when activated by the end user.</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Stage 4: Drying</w:t>
      </w:r>
    </w:p>
    <w:p>
      <w:pPr>
        <w:spacing w:after="120" w:before="60"/>
        <w:jc w:val="both"/>
      </w:pPr>
      <w:r>
        <w:rPr>
          <w:rFonts w:ascii="Arial" w:cs="Arial" w:eastAsia="Arial" w:hAnsi="Arial"/>
          <w:b w:val="false"/>
          <w:bCs w:val="false"/>
          <w:color w:val="1A1A1A"/>
          <w:sz w:val="22"/>
          <w:szCs w:val="22"/>
        </w:rPr>
        <w:t xml:space="preserve">The hydroentangled sheet is passed through a through-air dryer or drum dryer to remove all moisture. The final product must be completely dry (moisture content below 8%) before packaging to prevent any microbial activity and eliminate the need for preservatives.</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Stage 5: Slitting and Conversion</w:t>
      </w:r>
    </w:p>
    <w:p>
      <w:pPr>
        <w:spacing w:after="120" w:before="60"/>
        <w:jc w:val="both"/>
      </w:pPr>
      <w:r>
        <w:rPr>
          <w:rFonts w:ascii="Arial" w:cs="Arial" w:eastAsia="Arial" w:hAnsi="Arial"/>
          <w:b w:val="false"/>
          <w:bCs w:val="false"/>
          <w:color w:val="1A1A1A"/>
          <w:sz w:val="22"/>
          <w:szCs w:val="22"/>
        </w:rPr>
        <w:t xml:space="preserve">The dry nonwoven web is slit to width and converted into the final product format — either rolled (dispenser roll format) or cut-sheet stacked packs. Individual sheet perforations are added for roll formats.</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Stage 6: Packaging</w:t>
      </w:r>
    </w:p>
    <w:p>
      <w:pPr>
        <w:spacing w:after="120" w:before="60"/>
        <w:jc w:val="both"/>
      </w:pPr>
      <w:r>
        <w:rPr>
          <w:rFonts w:ascii="Arial" w:cs="Arial" w:eastAsia="Arial" w:hAnsi="Arial"/>
          <w:b w:val="false"/>
          <w:bCs w:val="false"/>
          <w:color w:val="1A1A1A"/>
          <w:sz w:val="22"/>
          <w:szCs w:val="22"/>
        </w:rPr>
        <w:t xml:space="preserve">Packaging must maintain the dry condition of the product until point of use. Options include: kraft paper sleeves (fully compostable), resealable kraft-lined pouches, and cardboard dispenser boxes. Plastic should be eliminated entirely from primary packaging to support the brand's sustainability positioning.</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7.2 Equipment Requirements</w:t>
      </w:r>
    </w:p>
    <w:p>
      <w:pPr>
        <w:pStyle w:val="ListParagraph"/>
        <w:numPr>
          <w:ilvl w:val="0"/>
          <w:numId w:val="2"/>
        </w:numPr>
        <w:spacing w:after="40" w:before="40"/>
      </w:pPr>
      <w:r>
        <w:rPr>
          <w:rFonts w:ascii="Arial" w:cs="Arial" w:eastAsia="Arial" w:hAnsi="Arial"/>
          <w:color w:val="1A1A1A"/>
          <w:sz w:val="22"/>
          <w:szCs w:val="22"/>
        </w:rPr>
        <w:t xml:space="preserve">Fibre opening and blending line</w:t>
      </w:r>
    </w:p>
    <w:p>
      <w:pPr>
        <w:pStyle w:val="ListParagraph"/>
        <w:numPr>
          <w:ilvl w:val="0"/>
          <w:numId w:val="2"/>
        </w:numPr>
        <w:spacing w:after="40" w:before="40"/>
      </w:pPr>
      <w:r>
        <w:rPr>
          <w:rFonts w:ascii="Arial" w:cs="Arial" w:eastAsia="Arial" w:hAnsi="Arial"/>
          <w:color w:val="1A1A1A"/>
          <w:sz w:val="22"/>
          <w:szCs w:val="22"/>
        </w:rPr>
        <w:t xml:space="preserve">Carding and cross-lapping machinery</w:t>
      </w:r>
    </w:p>
    <w:p>
      <w:pPr>
        <w:pStyle w:val="ListParagraph"/>
        <w:numPr>
          <w:ilvl w:val="0"/>
          <w:numId w:val="2"/>
        </w:numPr>
        <w:spacing w:after="40" w:before="40"/>
      </w:pPr>
      <w:r>
        <w:rPr>
          <w:rFonts w:ascii="Arial" w:cs="Arial" w:eastAsia="Arial" w:hAnsi="Arial"/>
          <w:color w:val="1A1A1A"/>
          <w:sz w:val="22"/>
          <w:szCs w:val="22"/>
        </w:rPr>
        <w:t xml:space="preserve">Hydroentanglement (spunlace) production line</w:t>
      </w:r>
    </w:p>
    <w:p>
      <w:pPr>
        <w:pStyle w:val="ListParagraph"/>
        <w:numPr>
          <w:ilvl w:val="0"/>
          <w:numId w:val="2"/>
        </w:numPr>
        <w:spacing w:after="40" w:before="40"/>
      </w:pPr>
      <w:r>
        <w:rPr>
          <w:rFonts w:ascii="Arial" w:cs="Arial" w:eastAsia="Arial" w:hAnsi="Arial"/>
          <w:color w:val="1A1A1A"/>
          <w:sz w:val="22"/>
          <w:szCs w:val="22"/>
        </w:rPr>
        <w:t xml:space="preserve">Through-air drying system</w:t>
      </w:r>
    </w:p>
    <w:p>
      <w:pPr>
        <w:pStyle w:val="ListParagraph"/>
        <w:numPr>
          <w:ilvl w:val="0"/>
          <w:numId w:val="2"/>
        </w:numPr>
        <w:spacing w:after="40" w:before="40"/>
      </w:pPr>
      <w:r>
        <w:rPr>
          <w:rFonts w:ascii="Arial" w:cs="Arial" w:eastAsia="Arial" w:hAnsi="Arial"/>
          <w:color w:val="1A1A1A"/>
          <w:sz w:val="22"/>
          <w:szCs w:val="22"/>
        </w:rPr>
        <w:t xml:space="preserve">Slitting and rewinding line</w:t>
      </w:r>
    </w:p>
    <w:p>
      <w:pPr>
        <w:pStyle w:val="ListParagraph"/>
        <w:numPr>
          <w:ilvl w:val="0"/>
          <w:numId w:val="2"/>
        </w:numPr>
        <w:spacing w:after="40" w:before="40"/>
      </w:pPr>
      <w:r>
        <w:rPr>
          <w:rFonts w:ascii="Arial" w:cs="Arial" w:eastAsia="Arial" w:hAnsi="Arial"/>
          <w:color w:val="1A1A1A"/>
          <w:sz w:val="22"/>
          <w:szCs w:val="22"/>
        </w:rPr>
        <w:t xml:space="preserve">Packaging line (compatible with paper-based packaging)</w:t>
      </w:r>
    </w:p>
    <w:p>
      <w:pPr>
        <w:spacing w:after="0" w:before="100"/>
      </w:pPr>
      <w:r>
        <w:t xml:space="preserve"/>
      </w:r>
    </w:p>
    <w:p>
      <w:pPr>
        <w:spacing w:after="120" w:before="60"/>
        <w:jc w:val="both"/>
      </w:pPr>
      <w:r>
        <w:rPr>
          <w:rFonts w:ascii="Arial" w:cs="Arial" w:eastAsia="Arial" w:hAnsi="Arial"/>
          <w:b w:val="false"/>
          <w:bCs w:val="false"/>
          <w:color w:val="1A1A1A"/>
          <w:sz w:val="22"/>
          <w:szCs w:val="22"/>
        </w:rPr>
        <w:t xml:space="preserve">Initial production may be contracted to an existing nonwoven converter in Asia (China, India) or Europe (Germany, Netherlands) where this infrastructure is well-established, before transitioning to African manufacturing as volume grows.</w:t>
      </w:r>
    </w:p>
    <w:p>
      <w:pPr>
        <w:spacing w:after="0" w:before="100"/>
      </w:pPr>
      <w:r>
        <w:t xml:space="preserve"/>
      </w:r>
    </w:p>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8. Regulatory Framework &amp; Industry Standards</w:t>
      </w:r>
    </w:p>
    <w:p>
      <w:pPr>
        <w:pStyle w:val="Heading2"/>
        <w:spacing w:after="120" w:before="280"/>
      </w:pPr>
      <w:r>
        <w:rPr>
          <w:rFonts w:ascii="Arial" w:cs="Arial" w:eastAsia="Arial" w:hAnsi="Arial"/>
          <w:b/>
          <w:bCs/>
          <w:color w:val="2E8B57"/>
          <w:sz w:val="28"/>
          <w:szCs w:val="28"/>
        </w:rPr>
        <w:t xml:space="preserve">8.1 Applicable Standards</w:t>
      </w:r>
    </w:p>
    <w:p>
      <w:pPr>
        <w:spacing w:after="120" w:before="60"/>
        <w:jc w:val="both"/>
      </w:pPr>
      <w:r>
        <w:rPr>
          <w:rFonts w:ascii="Arial" w:cs="Arial" w:eastAsia="Arial" w:hAnsi="Arial"/>
          <w:b w:val="false"/>
          <w:bCs w:val="false"/>
          <w:color w:val="1A1A1A"/>
          <w:sz w:val="22"/>
          <w:szCs w:val="22"/>
        </w:rPr>
        <w:t xml:space="preserve">AquaLeaf™ must be developed and tested against the following applicable industry and regulatory standards: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Standard</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Body</w:t>
            </w:r>
          </w:p>
        </w:tc>
        <w:tc>
          <w:tcPr>
            <w:tcW w:type="dxa" w:w="4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Relevance to AquaLeaf™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ISO 9073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ISO</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Testing methods for nonwovens: tensile strength, elongation, absorbency, thickness, mass per unit area</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ISO 10581</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ISO</w:t>
            </w:r>
          </w:p>
        </w:tc>
        <w:tc>
          <w:tcPr>
            <w:tcW w:type="dxa" w:w="4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Nonwoven test methods — absorption capacity and rate; directly applicable to water-activation performance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EN 14362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CEN (EU)</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Nonwoven performance standards for consumer hygiene products</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EDANA INDA WSP 10.1</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EDANA/INDA</w:t>
            </w:r>
          </w:p>
        </w:tc>
        <w:tc>
          <w:tcPr>
            <w:tcW w:type="dxa" w:w="4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Standard test method for mass per unit area (grammage) of nonwovens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EDANA WSP 70.3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EDANA/INDA</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Absorbency of nonwoven wipes — strike-through time and capacity</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ISO 11948</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ISO</w:t>
            </w:r>
          </w:p>
        </w:tc>
        <w:tc>
          <w:tcPr>
            <w:tcW w:type="dxa" w:w="4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Absorption properties — relevant to water-uptake speed testing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OEKO-TEX Standard 100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OEKO-TEX</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Tests for harmful substances in textiles; certification that confirms product is skin-safe</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ISO 14855</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ISO</w:t>
            </w:r>
          </w:p>
        </w:tc>
        <w:tc>
          <w:tcPr>
            <w:tcW w:type="dxa" w:w="4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Biodegradability under controlled composting conditions — critical for environmental claims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ASTM D5511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ASTM</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Anaerobic biodegradation — relevant for disposal in landfill conditions</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EU Cosmetics Regulation 1223/2009</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EU</w:t>
            </w:r>
          </w:p>
        </w:tc>
        <w:tc>
          <w:tcPr>
            <w:tcW w:type="dxa" w:w="48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If positioned as a skincare/personal hygiene product in EU markets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Kenya Bureau of Standards KS 2701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KEBS</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Kenyan standard for personal hygiene products; compliance required for domestic market</w:t>
            </w:r>
          </w:p>
        </w:tc>
      </w:tr>
    </w:tbl>
    <w:p>
      <w:pPr>
        <w:spacing w:after="0" w:before="200"/>
      </w:pPr>
      <w:r>
        <w:t xml:space="preserve"/>
      </w:r>
    </w:p>
    <w:p>
      <w:pPr>
        <w:pStyle w:val="Heading2"/>
        <w:spacing w:after="120" w:before="280"/>
      </w:pPr>
      <w:r>
        <w:rPr>
          <w:rFonts w:ascii="Arial" w:cs="Arial" w:eastAsia="Arial" w:hAnsi="Arial"/>
          <w:b/>
          <w:bCs/>
          <w:color w:val="2E8B57"/>
          <w:sz w:val="28"/>
          <w:szCs w:val="28"/>
        </w:rPr>
        <w:t xml:space="preserve">8.2 Key Performance Benchmarks to Achieve</w:t>
      </w:r>
    </w:p>
    <w:p>
      <w:pPr>
        <w:pStyle w:val="ListParagraph"/>
        <w:numPr>
          <w:ilvl w:val="0"/>
          <w:numId w:val="2"/>
        </w:numPr>
        <w:spacing w:after="40" w:before="40"/>
      </w:pPr>
      <w:r>
        <w:rPr>
          <w:rFonts w:ascii="Arial" w:cs="Arial" w:eastAsia="Arial" w:hAnsi="Arial"/>
          <w:color w:val="1A1A1A"/>
          <w:sz w:val="22"/>
          <w:szCs w:val="22"/>
        </w:rPr>
        <w:t xml:space="preserve">Basis weight: 50–70 gsm (grams per square metre)</w:t>
      </w:r>
    </w:p>
    <w:p>
      <w:pPr>
        <w:pStyle w:val="ListParagraph"/>
        <w:numPr>
          <w:ilvl w:val="0"/>
          <w:numId w:val="2"/>
        </w:numPr>
        <w:spacing w:after="40" w:before="40"/>
      </w:pPr>
      <w:r>
        <w:rPr>
          <w:rFonts w:ascii="Arial" w:cs="Arial" w:eastAsia="Arial" w:hAnsi="Arial"/>
          <w:color w:val="1A1A1A"/>
          <w:sz w:val="22"/>
          <w:szCs w:val="22"/>
        </w:rPr>
        <w:t xml:space="preserve">Tensile strength (wet): Minimum 20 N/5cm in machine direction</w:t>
      </w:r>
    </w:p>
    <w:p>
      <w:pPr>
        <w:pStyle w:val="ListParagraph"/>
        <w:numPr>
          <w:ilvl w:val="0"/>
          <w:numId w:val="2"/>
        </w:numPr>
        <w:spacing w:after="40" w:before="40"/>
      </w:pPr>
      <w:r>
        <w:rPr>
          <w:rFonts w:ascii="Arial" w:cs="Arial" w:eastAsia="Arial" w:hAnsi="Arial"/>
          <w:color w:val="1A1A1A"/>
          <w:sz w:val="22"/>
          <w:szCs w:val="22"/>
        </w:rPr>
        <w:t xml:space="preserve">Water absorption rate: Full saturation within 5 seconds of water contact</w:t>
      </w:r>
    </w:p>
    <w:p>
      <w:pPr>
        <w:pStyle w:val="ListParagraph"/>
        <w:numPr>
          <w:ilvl w:val="0"/>
          <w:numId w:val="2"/>
        </w:numPr>
        <w:spacing w:after="40" w:before="40"/>
      </w:pPr>
      <w:r>
        <w:rPr>
          <w:rFonts w:ascii="Arial" w:cs="Arial" w:eastAsia="Arial" w:hAnsi="Arial"/>
          <w:color w:val="1A1A1A"/>
          <w:sz w:val="22"/>
          <w:szCs w:val="22"/>
        </w:rPr>
        <w:t xml:space="preserve">Water absorption capacity: Minimum 400% of sheet dry weight</w:t>
      </w:r>
    </w:p>
    <w:p>
      <w:pPr>
        <w:pStyle w:val="ListParagraph"/>
        <w:numPr>
          <w:ilvl w:val="0"/>
          <w:numId w:val="2"/>
        </w:numPr>
        <w:spacing w:after="40" w:before="40"/>
      </w:pPr>
      <w:r>
        <w:rPr>
          <w:rFonts w:ascii="Arial" w:cs="Arial" w:eastAsia="Arial" w:hAnsi="Arial"/>
          <w:color w:val="1A1A1A"/>
          <w:sz w:val="22"/>
          <w:szCs w:val="22"/>
        </w:rPr>
        <w:t xml:space="preserve">Biodegradation: Greater than 90% disintegration within 12 weeks under ISO 14855 composting conditions</w:t>
      </w:r>
    </w:p>
    <w:p>
      <w:pPr>
        <w:pStyle w:val="ListParagraph"/>
        <w:numPr>
          <w:ilvl w:val="0"/>
          <w:numId w:val="2"/>
        </w:numPr>
        <w:spacing w:after="40" w:before="40"/>
      </w:pPr>
      <w:r>
        <w:rPr>
          <w:rFonts w:ascii="Arial" w:cs="Arial" w:eastAsia="Arial" w:hAnsi="Arial"/>
          <w:color w:val="1A1A1A"/>
          <w:sz w:val="22"/>
          <w:szCs w:val="22"/>
        </w:rPr>
        <w:t xml:space="preserve">Skin pH compatibility: Product pH after wetting to be in range 4.5–6.5 (skin-compatible)</w:t>
      </w:r>
    </w:p>
    <w:p>
      <w:pPr>
        <w:pStyle w:val="ListParagraph"/>
        <w:numPr>
          <w:ilvl w:val="0"/>
          <w:numId w:val="2"/>
        </w:numPr>
        <w:spacing w:after="40" w:before="40"/>
      </w:pPr>
      <w:r>
        <w:rPr>
          <w:rFonts w:ascii="Arial" w:cs="Arial" w:eastAsia="Arial" w:hAnsi="Arial"/>
          <w:color w:val="1A1A1A"/>
          <w:sz w:val="22"/>
          <w:szCs w:val="22"/>
        </w:rPr>
        <w:t xml:space="preserve">Absence of preservatives, fragrances, parabens, formaldehyde-releasing agents</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8.3 Certifications to Target</w:t>
      </w:r>
    </w:p>
    <w:p>
      <w:pPr>
        <w:pStyle w:val="ListParagraph"/>
        <w:numPr>
          <w:ilvl w:val="0"/>
          <w:numId w:val="2"/>
        </w:numPr>
        <w:spacing w:after="40" w:before="40"/>
      </w:pPr>
      <w:r>
        <w:rPr>
          <w:rFonts w:ascii="Arial" w:cs="Arial" w:eastAsia="Arial" w:hAnsi="Arial"/>
          <w:color w:val="1A1A1A"/>
          <w:sz w:val="22"/>
          <w:szCs w:val="22"/>
        </w:rPr>
        <w:t xml:space="preserve">OEKO-TEX Standard 100 — foundational skin-safety certification</w:t>
      </w:r>
    </w:p>
    <w:p>
      <w:pPr>
        <w:pStyle w:val="ListParagraph"/>
        <w:numPr>
          <w:ilvl w:val="0"/>
          <w:numId w:val="2"/>
        </w:numPr>
        <w:spacing w:after="40" w:before="40"/>
      </w:pPr>
      <w:r>
        <w:rPr>
          <w:rFonts w:ascii="Arial" w:cs="Arial" w:eastAsia="Arial" w:hAnsi="Arial"/>
          <w:color w:val="1A1A1A"/>
          <w:sz w:val="22"/>
          <w:szCs w:val="22"/>
        </w:rPr>
        <w:t xml:space="preserve">FSC (Forest Stewardship Council) — if using cotton or wood-derived lyocell from certified sources</w:t>
      </w:r>
    </w:p>
    <w:p>
      <w:pPr>
        <w:pStyle w:val="ListParagraph"/>
        <w:numPr>
          <w:ilvl w:val="0"/>
          <w:numId w:val="2"/>
        </w:numPr>
        <w:spacing w:after="40" w:before="40"/>
      </w:pPr>
      <w:r>
        <w:rPr>
          <w:rFonts w:ascii="Arial" w:cs="Arial" w:eastAsia="Arial" w:hAnsi="Arial"/>
          <w:color w:val="1A1A1A"/>
          <w:sz w:val="22"/>
          <w:szCs w:val="22"/>
        </w:rPr>
        <w:t xml:space="preserve">EU Ecolabel — for European market entry</w:t>
      </w:r>
    </w:p>
    <w:p>
      <w:pPr>
        <w:pStyle w:val="ListParagraph"/>
        <w:numPr>
          <w:ilvl w:val="0"/>
          <w:numId w:val="2"/>
        </w:numPr>
        <w:spacing w:after="40" w:before="40"/>
      </w:pPr>
      <w:r>
        <w:rPr>
          <w:rFonts w:ascii="Arial" w:cs="Arial" w:eastAsia="Arial" w:hAnsi="Arial"/>
          <w:color w:val="1A1A1A"/>
          <w:sz w:val="22"/>
          <w:szCs w:val="22"/>
        </w:rPr>
        <w:t xml:space="preserve">USDA BioPreferred — for US market entry</w:t>
      </w:r>
    </w:p>
    <w:p>
      <w:pPr>
        <w:pStyle w:val="ListParagraph"/>
        <w:numPr>
          <w:ilvl w:val="0"/>
          <w:numId w:val="2"/>
        </w:numPr>
        <w:spacing w:after="40" w:before="40"/>
      </w:pPr>
      <w:r>
        <w:rPr>
          <w:rFonts w:ascii="Arial" w:cs="Arial" w:eastAsia="Arial" w:hAnsi="Arial"/>
          <w:color w:val="1A1A1A"/>
          <w:sz w:val="22"/>
          <w:szCs w:val="22"/>
        </w:rPr>
        <w:t xml:space="preserve">B Corp Certification — brand-level sustainability positioning</w:t>
      </w:r>
    </w:p>
    <w:p>
      <w:pPr>
        <w:spacing w:after="0" w:before="100"/>
      </w:pPr>
      <w:r>
        <w:t xml:space="preserve"/>
      </w:r>
    </w:p>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9. Market Analysis</w:t>
      </w:r>
    </w:p>
    <w:p>
      <w:pPr>
        <w:pStyle w:val="Heading2"/>
        <w:spacing w:after="120" w:before="280"/>
      </w:pPr>
      <w:r>
        <w:rPr>
          <w:rFonts w:ascii="Arial" w:cs="Arial" w:eastAsia="Arial" w:hAnsi="Arial"/>
          <w:b/>
          <w:bCs/>
          <w:color w:val="2E8B57"/>
          <w:sz w:val="28"/>
          <w:szCs w:val="28"/>
        </w:rPr>
        <w:t xml:space="preserve">9.1 Global Wet Wipes Market</w:t>
      </w:r>
    </w:p>
    <w:p>
      <w:pPr>
        <w:spacing w:after="120" w:before="60"/>
        <w:jc w:val="both"/>
      </w:pPr>
      <w:r>
        <w:rPr>
          <w:rFonts w:ascii="Arial" w:cs="Arial" w:eastAsia="Arial" w:hAnsi="Arial"/>
          <w:b w:val="false"/>
          <w:bCs w:val="false"/>
          <w:color w:val="1A1A1A"/>
          <w:sz w:val="22"/>
          <w:szCs w:val="22"/>
        </w:rPr>
        <w:t xml:space="preserve">The global wet wipes market was valued at approximately USD 20 billion in 2023 and is projected to exceed USD 30 billion by 2030, growing at a CAGR of approximately 6.5%. Key growth drivers include rising hygiene awareness, expanding middle-class populations in Asia and Africa, and increasing demand for on-the-go personal care formats.</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9.2 Market Gaps AquaLeaf™ Addresses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Market Trend</w:t>
            </w:r>
          </w:p>
        </w:tc>
        <w:tc>
          <w:tcPr>
            <w:tcW w:type="dxa" w:w="60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AquaLeaf™ Alignment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Clean beauty / ingredient transparency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Zero preservatives, 100% natural fibre — fully transparent ingredient profile</w:t>
            </w:r>
          </w:p>
        </w:tc>
      </w:tr>
      <w:tr>
        <w:tc>
          <w:tcPr>
            <w:tcW w:type="dxa" w:w="3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Sustainability / plastic-free</w:t>
            </w:r>
          </w:p>
        </w:tc>
        <w:tc>
          <w:tcPr>
            <w:tcW w:type="dxa" w:w="60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Biodegradable wipe + plastic-free packaging — directly addresses consumer and regulatory pressure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Sensitive skin / hypoallergenic</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No chemical additives; natural fibres — premium positioning for sensitive skin segment</w:t>
            </w:r>
          </w:p>
        </w:tc>
      </w:tr>
      <w:tr>
        <w:tc>
          <w:tcPr>
            <w:tcW w:type="dxa" w:w="3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African manufacturing / local sourcing</w:t>
            </w:r>
          </w:p>
        </w:tc>
        <w:tc>
          <w:tcPr>
            <w:tcW w:type="dxa" w:w="60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Sisal from Kenya; potential banana fibre sourcing — supports 'Made in Africa' narrative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Premium personal care growth</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Water-activation ritual positions product above commodity tissues and budget wipes</w:t>
            </w:r>
          </w:p>
        </w:tc>
      </w:tr>
    </w:tbl>
    <w:p>
      <w:pPr>
        <w:spacing w:after="0" w:before="200"/>
      </w:pPr>
      <w:r>
        <w:t xml:space="preserve"/>
      </w:r>
    </w:p>
    <w:p>
      <w:pPr>
        <w:pStyle w:val="Heading2"/>
        <w:spacing w:after="120" w:before="280"/>
      </w:pPr>
      <w:r>
        <w:rPr>
          <w:rFonts w:ascii="Arial" w:cs="Arial" w:eastAsia="Arial" w:hAnsi="Arial"/>
          <w:b/>
          <w:bCs/>
          <w:color w:val="2E8B57"/>
          <w:sz w:val="28"/>
          <w:szCs w:val="28"/>
        </w:rPr>
        <w:t xml:space="preserve">9.3 Target Customer Segments</w:t>
      </w:r>
    </w:p>
    <w:p>
      <w:pPr>
        <w:pStyle w:val="ListParagraph"/>
        <w:numPr>
          <w:ilvl w:val="0"/>
          <w:numId w:val="2"/>
        </w:numPr>
        <w:spacing w:after="40" w:before="40"/>
      </w:pPr>
      <w:r>
        <w:rPr>
          <w:rFonts w:ascii="Arial" w:cs="Arial" w:eastAsia="Arial" w:hAnsi="Arial"/>
          <w:color w:val="1A1A1A"/>
          <w:sz w:val="22"/>
          <w:szCs w:val="22"/>
        </w:rPr>
        <w:t xml:space="preserve">Primary: Urban, health-conscious consumers aged 22–45 seeking clean, sustainable personal care alternatives</w:t>
      </w:r>
    </w:p>
    <w:p>
      <w:pPr>
        <w:pStyle w:val="ListParagraph"/>
        <w:numPr>
          <w:ilvl w:val="0"/>
          <w:numId w:val="2"/>
        </w:numPr>
        <w:spacing w:after="40" w:before="40"/>
      </w:pPr>
      <w:r>
        <w:rPr>
          <w:rFonts w:ascii="Arial" w:cs="Arial" w:eastAsia="Arial" w:hAnsi="Arial"/>
          <w:color w:val="1A1A1A"/>
          <w:sz w:val="22"/>
          <w:szCs w:val="22"/>
        </w:rPr>
        <w:t xml:space="preserve">Secondary: Parents of young children, particularly those with sensitive skin concerns related to preservative chemicals</w:t>
      </w:r>
    </w:p>
    <w:p>
      <w:pPr>
        <w:pStyle w:val="ListParagraph"/>
        <w:numPr>
          <w:ilvl w:val="0"/>
          <w:numId w:val="2"/>
        </w:numPr>
        <w:spacing w:after="40" w:before="40"/>
      </w:pPr>
      <w:r>
        <w:rPr>
          <w:rFonts w:ascii="Arial" w:cs="Arial" w:eastAsia="Arial" w:hAnsi="Arial"/>
          <w:color w:val="1A1A1A"/>
          <w:sz w:val="22"/>
          <w:szCs w:val="22"/>
        </w:rPr>
        <w:t xml:space="preserve">Tertiary: Travel and hospitality sector (hotels, airlines, corporate gifting) — positioned as premium amenity</w:t>
      </w:r>
    </w:p>
    <w:p>
      <w:pPr>
        <w:pStyle w:val="ListParagraph"/>
        <w:numPr>
          <w:ilvl w:val="0"/>
          <w:numId w:val="2"/>
        </w:numPr>
        <w:spacing w:after="40" w:before="40"/>
      </w:pPr>
      <w:r>
        <w:rPr>
          <w:rFonts w:ascii="Arial" w:cs="Arial" w:eastAsia="Arial" w:hAnsi="Arial"/>
          <w:color w:val="1A1A1A"/>
          <w:sz w:val="22"/>
          <w:szCs w:val="22"/>
        </w:rPr>
        <w:t xml:space="preserve">Institutional: Healthcare facilities seeking preservative-free, biodegradable hygiene products</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9.4 Competitive Positioning</w:t>
      </w:r>
    </w:p>
    <w:p>
      <w:pPr>
        <w:spacing w:after="120" w:before="60"/>
        <w:jc w:val="both"/>
      </w:pPr>
      <w:r>
        <w:rPr>
          <w:rFonts w:ascii="Arial" w:cs="Arial" w:eastAsia="Arial" w:hAnsi="Arial"/>
          <w:b w:val="false"/>
          <w:bCs w:val="false"/>
          <w:color w:val="1A1A1A"/>
          <w:sz w:val="22"/>
          <w:szCs w:val="22"/>
        </w:rPr>
        <w:t xml:space="preserve">AquaLeaf™ occupies a white space between conventional dry tissues (insufficient cleaning) and conventional wet wipes (chemical-laden, non-biodegradable). The nearest competitive products are bamboo wet wipes (already moistened, with preservatives) and compressed travel towels (different form factor, different use case). No mainstream product currently delivers the dry-stored, water-activated, fully natural formulation that AquaLeaf™ proposes.</w:t>
      </w:r>
    </w:p>
    <w:p>
      <w:pPr>
        <w:spacing w:after="0" w:before="100"/>
      </w:pPr>
      <w:r>
        <w:t xml:space="preserve"/>
      </w:r>
    </w:p>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10. Product 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Phase</w:t>
            </w:r>
          </w:p>
        </w:tc>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Timeline</w:t>
            </w:r>
          </w:p>
        </w:tc>
        <w:tc>
          <w:tcPr>
            <w:tcW w:type="dxa" w:w="57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Key Activities</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Phase 1
Lab &amp; Formulation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Months 1–4</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Prototype fibre blends; hydroentanglement trials; absorption and wet-integrity testing against ISO 9073 and WSP 70.3; shortlist top 2 formulations</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Phase 2
Testing &amp; Certification</w:t>
            </w:r>
          </w:p>
        </w:tc>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Months 5–8</w:t>
            </w:r>
          </w:p>
        </w:tc>
        <w:tc>
          <w:tcPr>
            <w:tcW w:type="dxa" w:w="57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OEKO-TEX Standard 100 testing; biodegradability testing (ISO 14855); skin patch testing with dermatologist panel; regulatory pre-submission review</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Phase 3
Pilot Production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Months 9–12</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Contract manufacturing partner engagement; pilot run of 10,000–50,000 units; packaging design and prototyping; unit economics modelling</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Phase 4
Market Entry</w:t>
            </w:r>
          </w:p>
        </w:tc>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Months 13–18</w:t>
            </w:r>
          </w:p>
        </w:tc>
        <w:tc>
          <w:tcPr>
            <w:tcW w:type="dxa" w:w="57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Kenya domestic launch (KEBS compliance); e-commerce and premium retail channel activation; hospitality sector pilot partnerships</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Phase 5
Scale &amp; Expand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Months 19–30</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Regional expansion (East Africa); EU/UK market entry (EU Cosmetics Regulation compliance); explore local Kenyan manufacturing feasibility</w:t>
            </w:r>
          </w:p>
        </w:tc>
      </w:tr>
    </w:tbl>
    <w:p>
      <w:pPr>
        <w:spacing w:after="0" w:before="200"/>
      </w:pPr>
      <w:r>
        <w:t xml:space="preserve"/>
      </w:r>
    </w:p>
    <w:p>
      <w:pPr>
        <w:pStyle w:val="Heading1"/>
        <w:pBdr>
          <w:bottom w:val="single" w:color="1A6B3C" w:sz="8" w:space="6"/>
        </w:pBdr>
        <w:spacing w:after="180" w:before="360"/>
      </w:pPr>
      <w:r>
        <w:rPr>
          <w:rFonts w:ascii="Arial" w:cs="Arial" w:eastAsia="Arial" w:hAnsi="Arial"/>
          <w:b/>
          <w:bCs/>
          <w:color w:val="1A6B3C"/>
          <w:sz w:val="36"/>
          <w:szCs w:val="36"/>
        </w:rPr>
        <w:t xml:space="preserve">11. Preliminary Financial Overview</w:t>
      </w:r>
    </w:p>
    <w:p>
      <w:pPr>
        <w:pStyle w:val="Heading2"/>
        <w:spacing w:after="120" w:before="280"/>
      </w:pPr>
      <w:r>
        <w:rPr>
          <w:rFonts w:ascii="Arial" w:cs="Arial" w:eastAsia="Arial" w:hAnsi="Arial"/>
          <w:b/>
          <w:bCs/>
          <w:color w:val="2E8B57"/>
          <w:sz w:val="28"/>
          <w:szCs w:val="28"/>
        </w:rPr>
        <w:t xml:space="preserve">11.1 Cost Drivers</w:t>
      </w:r>
    </w:p>
    <w:p>
      <w:pPr>
        <w:pStyle w:val="ListParagraph"/>
        <w:numPr>
          <w:ilvl w:val="0"/>
          <w:numId w:val="2"/>
        </w:numPr>
        <w:spacing w:after="40" w:before="40"/>
      </w:pPr>
      <w:r>
        <w:rPr>
          <w:rFonts w:ascii="Arial" w:cs="Arial" w:eastAsia="Arial" w:hAnsi="Arial"/>
          <w:color w:val="1A1A1A"/>
          <w:sz w:val="22"/>
          <w:szCs w:val="22"/>
        </w:rPr>
        <w:t xml:space="preserve">Fibre procurement: Bamboo lyocell fibre currently priced at USD 2.50–4.00/kg; cotton nonwoven USD 1.80–2.50/kg; lyocell USD 3.00–5.00/kg</w:t>
      </w:r>
    </w:p>
    <w:p>
      <w:pPr>
        <w:pStyle w:val="ListParagraph"/>
        <w:numPr>
          <w:ilvl w:val="0"/>
          <w:numId w:val="2"/>
        </w:numPr>
        <w:spacing w:after="40" w:before="40"/>
      </w:pPr>
      <w:r>
        <w:rPr>
          <w:rFonts w:ascii="Arial" w:cs="Arial" w:eastAsia="Arial" w:hAnsi="Arial"/>
          <w:color w:val="1A1A1A"/>
          <w:sz w:val="22"/>
          <w:szCs w:val="22"/>
        </w:rPr>
        <w:t xml:space="preserve">Processing (contract hydroentanglement): USD 1.50–3.00/kg of finished nonwoven, depending on volume and geography</w:t>
      </w:r>
    </w:p>
    <w:p>
      <w:pPr>
        <w:pStyle w:val="ListParagraph"/>
        <w:numPr>
          <w:ilvl w:val="0"/>
          <w:numId w:val="2"/>
        </w:numPr>
        <w:spacing w:after="40" w:before="40"/>
      </w:pPr>
      <w:r>
        <w:rPr>
          <w:rFonts w:ascii="Arial" w:cs="Arial" w:eastAsia="Arial" w:hAnsi="Arial"/>
          <w:color w:val="1A1A1A"/>
          <w:sz w:val="22"/>
          <w:szCs w:val="22"/>
        </w:rPr>
        <w:t xml:space="preserve">Packaging (paper-based): USD 0.05–0.15 per unit depending on format and quantity</w:t>
      </w:r>
    </w:p>
    <w:p>
      <w:pPr>
        <w:pStyle w:val="ListParagraph"/>
        <w:numPr>
          <w:ilvl w:val="0"/>
          <w:numId w:val="2"/>
        </w:numPr>
        <w:spacing w:after="40" w:before="40"/>
      </w:pPr>
      <w:r>
        <w:rPr>
          <w:rFonts w:ascii="Arial" w:cs="Arial" w:eastAsia="Arial" w:hAnsi="Arial"/>
          <w:color w:val="1A1A1A"/>
          <w:sz w:val="22"/>
          <w:szCs w:val="22"/>
        </w:rPr>
        <w:t xml:space="preserve">Testing and certification: USD 15,000–40,000 for OEKO-TEX, biodegradability, and regulatory submission</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11.2 Pricing Strategy</w:t>
      </w:r>
    </w:p>
    <w:p>
      <w:pPr>
        <w:spacing w:after="120" w:before="60"/>
        <w:jc w:val="both"/>
      </w:pPr>
      <w:r>
        <w:rPr>
          <w:rFonts w:ascii="Arial" w:cs="Arial" w:eastAsia="Arial" w:hAnsi="Arial"/>
          <w:b w:val="false"/>
          <w:bCs w:val="false"/>
          <w:color w:val="1A1A1A"/>
          <w:sz w:val="22"/>
          <w:szCs w:val="22"/>
        </w:rPr>
        <w:t xml:space="preserve">AquaLeaf™ is positioned as a premium product. Target retail price in Kenya: KES 350–500 for a pack of 30 sheets. This represents a premium over conventional wipes but is justified by the natural composition, absence of chemicals, and sustainability positioning. International pricing will reflect local market conditions but will consistently maintain a premium tier position.</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11.3 Funding Requirements</w:t>
      </w:r>
    </w:p>
    <w:p>
      <w:pPr>
        <w:spacing w:after="120" w:before="60"/>
        <w:jc w:val="both"/>
      </w:pPr>
      <w:r>
        <w:rPr>
          <w:rFonts w:ascii="Arial" w:cs="Arial" w:eastAsia="Arial" w:hAnsi="Arial"/>
          <w:b w:val="false"/>
          <w:bCs w:val="false"/>
          <w:color w:val="1A1A1A"/>
          <w:sz w:val="22"/>
          <w:szCs w:val="22"/>
        </w:rPr>
        <w:t xml:space="preserve">Estimated capital requirement for Phases 1–3 (prototype through pilot production): USD 80,000–150,000. This includes formulation R&amp;D, testing, certification, manufacturing setup, packaging design, and initial inventory. Potential funding sources include impact investors (health and sustainability focus), development finance institutions (AfDB, IFC SME programmes), and Kenya government innovation funds (e.g., KIRDI — Kenya Industrial Research and Development Institute).</w:t>
      </w:r>
    </w:p>
    <w:p>
      <w:pPr>
        <w:spacing w:after="0" w:before="100"/>
      </w:pPr>
      <w:r>
        <w:t xml:space="preserve"/>
      </w:r>
    </w:p>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12. Sustainability Framework</w:t>
      </w:r>
    </w:p>
    <w:p>
      <w:pPr>
        <w:pStyle w:val="Heading2"/>
        <w:spacing w:after="120" w:before="280"/>
      </w:pPr>
      <w:r>
        <w:rPr>
          <w:rFonts w:ascii="Arial" w:cs="Arial" w:eastAsia="Arial" w:hAnsi="Arial"/>
          <w:b/>
          <w:bCs/>
          <w:color w:val="2E8B57"/>
          <w:sz w:val="28"/>
          <w:szCs w:val="28"/>
        </w:rPr>
        <w:t xml:space="preserve">12.1 Environmental Impact Assessment</w:t>
      </w:r>
    </w:p>
    <w:p>
      <w:pPr>
        <w:spacing w:after="120" w:before="60"/>
        <w:jc w:val="both"/>
      </w:pPr>
      <w:r>
        <w:rPr>
          <w:rFonts w:ascii="Arial" w:cs="Arial" w:eastAsia="Arial" w:hAnsi="Arial"/>
          <w:b w:val="false"/>
          <w:bCs w:val="false"/>
          <w:color w:val="1A1A1A"/>
          <w:sz w:val="22"/>
          <w:szCs w:val="22"/>
        </w:rPr>
        <w:t xml:space="preserve">AquaLeaf™ is designed with circular economy principles embedded at every stage of the product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Lifecycle Stage</w:t>
            </w:r>
          </w:p>
        </w:tc>
        <w:tc>
          <w:tcPr>
            <w:tcW w:type="dxa" w:w="3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Conventional Wet Wipe</w:t>
            </w:r>
          </w:p>
        </w:tc>
        <w:tc>
          <w:tcPr>
            <w:tcW w:type="dxa" w:w="34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AquaLeaf™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Raw material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Synthetic petroleum-derived fibres</w:t>
            </w:r>
          </w:p>
        </w:tc>
        <w:tc>
          <w:tcPr>
            <w:tcW w:type="dxa" w:w="34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6B3C"/>
                <w:sz w:val="20"/>
                <w:szCs w:val="20"/>
              </w:rPr>
              <w:t xml:space="preserve">Agricultural byproduct fibres + FSC-certified natural fibres</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Processing</w:t>
            </w:r>
          </w:p>
        </w:tc>
        <w:tc>
          <w:tcPr>
            <w:tcW w:type="dxa" w:w="3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Chemical bonding agents required</w:t>
            </w:r>
          </w:p>
        </w:tc>
        <w:tc>
          <w:tcPr>
            <w:tcW w:type="dxa" w:w="34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6B3C"/>
                <w:sz w:val="20"/>
                <w:szCs w:val="20"/>
              </w:rPr>
              <w:t xml:space="preserve">Mechanical hydroentanglement only — no chemicals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Preservation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Chemical preservatives essential</w:t>
            </w:r>
          </w:p>
        </w:tc>
        <w:tc>
          <w:tcPr>
            <w:tcW w:type="dxa" w:w="34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6B3C"/>
                <w:sz w:val="20"/>
                <w:szCs w:val="20"/>
              </w:rPr>
              <w:t xml:space="preserve">None required — dry storage eliminates need</w:t>
            </w:r>
          </w:p>
        </w:tc>
      </w:tr>
      <w:tr>
        <w:tc>
          <w:tcPr>
            <w:tcW w:type="dxa" w:w="22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Packaging</w:t>
            </w:r>
          </w:p>
        </w:tc>
        <w:tc>
          <w:tcPr>
            <w:tcW w:type="dxa" w:w="3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Plastic tubs or plastic-lined pouches</w:t>
            </w:r>
          </w:p>
        </w:tc>
        <w:tc>
          <w:tcPr>
            <w:tcW w:type="dxa" w:w="34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6B3C"/>
                <w:sz w:val="20"/>
                <w:szCs w:val="20"/>
              </w:rPr>
              <w:t xml:space="preserve">Kraft paper, cardboard — fully compostable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20"/>
                <w:szCs w:val="20"/>
              </w:rPr>
              <w:t xml:space="preserve">End of life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Persists 100+ years in landfill or waterway</w:t>
            </w:r>
          </w:p>
        </w:tc>
        <w:tc>
          <w:tcPr>
            <w:tcW w:type="dxa" w:w="34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6B3C"/>
                <w:sz w:val="20"/>
                <w:szCs w:val="20"/>
              </w:rPr>
              <w:t xml:space="preserve">Fully biodegrades within 4–12 weeks</w:t>
            </w:r>
          </w:p>
        </w:tc>
      </w:tr>
    </w:tbl>
    <w:p>
      <w:pPr>
        <w:spacing w:after="0" w:before="200"/>
      </w:pPr>
      <w:r>
        <w:t xml:space="preserve"/>
      </w:r>
    </w:p>
    <w:p>
      <w:pPr>
        <w:pStyle w:val="Heading2"/>
        <w:spacing w:after="120" w:before="280"/>
      </w:pPr>
      <w:r>
        <w:rPr>
          <w:rFonts w:ascii="Arial" w:cs="Arial" w:eastAsia="Arial" w:hAnsi="Arial"/>
          <w:b/>
          <w:bCs/>
          <w:color w:val="2E8B57"/>
          <w:sz w:val="28"/>
          <w:szCs w:val="28"/>
        </w:rPr>
        <w:t xml:space="preserve">12.2 Social Impact</w:t>
      </w:r>
    </w:p>
    <w:p>
      <w:pPr>
        <w:pStyle w:val="ListParagraph"/>
        <w:numPr>
          <w:ilvl w:val="0"/>
          <w:numId w:val="2"/>
        </w:numPr>
        <w:spacing w:after="40" w:before="40"/>
      </w:pPr>
      <w:r>
        <w:rPr>
          <w:rFonts w:ascii="Arial" w:cs="Arial" w:eastAsia="Arial" w:hAnsi="Arial"/>
          <w:color w:val="1A1A1A"/>
          <w:sz w:val="22"/>
          <w:szCs w:val="22"/>
        </w:rPr>
        <w:t xml:space="preserve">Sisal sourcing from Kenya supports existing Kenyan agricultural communities</w:t>
      </w:r>
    </w:p>
    <w:p>
      <w:pPr>
        <w:pStyle w:val="ListParagraph"/>
        <w:numPr>
          <w:ilvl w:val="0"/>
          <w:numId w:val="2"/>
        </w:numPr>
        <w:spacing w:after="40" w:before="40"/>
      </w:pPr>
      <w:r>
        <w:rPr>
          <w:rFonts w:ascii="Arial" w:cs="Arial" w:eastAsia="Arial" w:hAnsi="Arial"/>
          <w:color w:val="1A1A1A"/>
          <w:sz w:val="22"/>
          <w:szCs w:val="22"/>
        </w:rPr>
        <w:t xml:space="preserve">Banana fibre processing, if developed, creates value from agricultural waste streams that currently represent a disposal cost to farmers</w:t>
      </w:r>
    </w:p>
    <w:p>
      <w:pPr>
        <w:pStyle w:val="ListParagraph"/>
        <w:numPr>
          <w:ilvl w:val="0"/>
          <w:numId w:val="2"/>
        </w:numPr>
        <w:spacing w:after="40" w:before="40"/>
      </w:pPr>
      <w:r>
        <w:rPr>
          <w:rFonts w:ascii="Arial" w:cs="Arial" w:eastAsia="Arial" w:hAnsi="Arial"/>
          <w:color w:val="1A1A1A"/>
          <w:sz w:val="22"/>
          <w:szCs w:val="22"/>
        </w:rPr>
        <w:t xml:space="preserve">Manufacturing investment in Kenya creates skilled employment in technical textiles — a nascent sector in East Africa</w:t>
      </w:r>
    </w:p>
    <w:p>
      <w:pPr>
        <w:pStyle w:val="ListParagraph"/>
        <w:numPr>
          <w:ilvl w:val="0"/>
          <w:numId w:val="2"/>
        </w:numPr>
        <w:spacing w:after="40" w:before="40"/>
      </w:pPr>
      <w:r>
        <w:rPr>
          <w:rFonts w:ascii="Arial" w:cs="Arial" w:eastAsia="Arial" w:hAnsi="Arial"/>
          <w:color w:val="1A1A1A"/>
          <w:sz w:val="22"/>
          <w:szCs w:val="22"/>
        </w:rPr>
        <w:t xml:space="preserve">The preservative-free formulation specifically benefits lower-income consumers who may be more vulnerable to sensitiser-related skin conditions due to less access to specialist healthcare</w:t>
      </w:r>
    </w:p>
    <w:p>
      <w:pPr>
        <w:spacing w:after="0" w:before="100"/>
      </w:pPr>
      <w:r>
        <w:t xml:space="preserve"/>
      </w:r>
    </w:p>
    <w:p>
      <w:pPr>
        <w:pStyle w:val="Heading1"/>
        <w:pBdr>
          <w:bottom w:val="single" w:color="1A6B3C" w:sz="8" w:space="6"/>
        </w:pBdr>
        <w:spacing w:after="180" w:before="360"/>
      </w:pPr>
      <w:r>
        <w:rPr>
          <w:rFonts w:ascii="Arial" w:cs="Arial" w:eastAsia="Arial" w:hAnsi="Arial"/>
          <w:b/>
          <w:bCs/>
          <w:color w:val="1A6B3C"/>
          <w:sz w:val="36"/>
          <w:szCs w:val="36"/>
        </w:rPr>
        <w:t xml:space="preserve">13. Intellectual Property Strategy</w:t>
      </w:r>
    </w:p>
    <w:p>
      <w:pPr>
        <w:pStyle w:val="Heading2"/>
        <w:spacing w:after="120" w:before="280"/>
      </w:pPr>
      <w:r>
        <w:rPr>
          <w:rFonts w:ascii="Arial" w:cs="Arial" w:eastAsia="Arial" w:hAnsi="Arial"/>
          <w:b/>
          <w:bCs/>
          <w:color w:val="2E8B57"/>
          <w:sz w:val="28"/>
          <w:szCs w:val="28"/>
        </w:rPr>
        <w:t xml:space="preserve">13.1 Patentable Elements</w:t>
      </w:r>
    </w:p>
    <w:p>
      <w:pPr>
        <w:spacing w:after="120" w:before="60"/>
        <w:jc w:val="both"/>
      </w:pPr>
      <w:r>
        <w:rPr>
          <w:rFonts w:ascii="Arial" w:cs="Arial" w:eastAsia="Arial" w:hAnsi="Arial"/>
          <w:b w:val="false"/>
          <w:bCs w:val="false"/>
          <w:color w:val="1A1A1A"/>
          <w:sz w:val="22"/>
          <w:szCs w:val="22"/>
        </w:rPr>
        <w:t xml:space="preserve">The following elements of AquaLeaf™ are potentially patentable and should be reviewed with a qualified patent attorney prior to public disclosure:</w:t>
      </w:r>
    </w:p>
    <w:p>
      <w:pPr>
        <w:pStyle w:val="ListParagraph"/>
        <w:numPr>
          <w:ilvl w:val="0"/>
          <w:numId w:val="2"/>
        </w:numPr>
        <w:spacing w:after="40" w:before="40"/>
      </w:pPr>
      <w:r>
        <w:rPr>
          <w:rFonts w:ascii="Arial" w:cs="Arial" w:eastAsia="Arial" w:hAnsi="Arial"/>
          <w:color w:val="1A1A1A"/>
          <w:sz w:val="22"/>
          <w:szCs w:val="22"/>
        </w:rPr>
        <w:t xml:space="preserve">The specific fibre blend ratio (60/30/10 bamboo/cotton/lyocell) in nonwoven wipe format, if not already prior-arted</w:t>
      </w:r>
    </w:p>
    <w:p>
      <w:pPr>
        <w:pStyle w:val="ListParagraph"/>
        <w:numPr>
          <w:ilvl w:val="0"/>
          <w:numId w:val="2"/>
        </w:numPr>
        <w:spacing w:after="40" w:before="40"/>
      </w:pPr>
      <w:r>
        <w:rPr>
          <w:rFonts w:ascii="Arial" w:cs="Arial" w:eastAsia="Arial" w:hAnsi="Arial"/>
          <w:color w:val="1A1A1A"/>
          <w:sz w:val="22"/>
          <w:szCs w:val="22"/>
        </w:rPr>
        <w:t xml:space="preserve">The product format of a dry-stored, water-activated nonwoven personal hygiene wipe with specific water-uptake performance parameters</w:t>
      </w:r>
    </w:p>
    <w:p>
      <w:pPr>
        <w:pStyle w:val="ListParagraph"/>
        <w:numPr>
          <w:ilvl w:val="0"/>
          <w:numId w:val="2"/>
        </w:numPr>
        <w:spacing w:after="40" w:before="40"/>
      </w:pPr>
      <w:r>
        <w:rPr>
          <w:rFonts w:ascii="Arial" w:cs="Arial" w:eastAsia="Arial" w:hAnsi="Arial"/>
          <w:color w:val="1A1A1A"/>
          <w:sz w:val="22"/>
          <w:szCs w:val="22"/>
        </w:rPr>
        <w:t xml:space="preserve">Any novel water-delivery mechanism developed for the product (e.g., an integrated water sachet or dispensing system)</w:t>
      </w:r>
    </w:p>
    <w:p>
      <w:pPr>
        <w:pStyle w:val="ListParagraph"/>
        <w:numPr>
          <w:ilvl w:val="0"/>
          <w:numId w:val="2"/>
        </w:numPr>
        <w:spacing w:after="40" w:before="40"/>
      </w:pPr>
      <w:r>
        <w:rPr>
          <w:rFonts w:ascii="Arial" w:cs="Arial" w:eastAsia="Arial" w:hAnsi="Arial"/>
          <w:color w:val="1A1A1A"/>
          <w:sz w:val="22"/>
          <w:szCs w:val="22"/>
        </w:rPr>
        <w:t xml:space="preserve">The manufacturing process if any novel step is introduced in the drying or conversion stage</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13.2 Trademark</w:t>
      </w:r>
    </w:p>
    <w:p>
      <w:pPr>
        <w:spacing w:after="120" w:before="60"/>
        <w:jc w:val="both"/>
      </w:pPr>
      <w:r>
        <w:rPr>
          <w:rFonts w:ascii="Arial" w:cs="Arial" w:eastAsia="Arial" w:hAnsi="Arial"/>
          <w:b w:val="false"/>
          <w:bCs w:val="false"/>
          <w:color w:val="1A1A1A"/>
          <w:sz w:val="22"/>
          <w:szCs w:val="22"/>
        </w:rPr>
        <w:t xml:space="preserve">The AquaLeaf™ brand name and logo should be registered as trademarks in Kenya (KIPI — Kenya Intellectual Property Institute) and internationally via the Madrid Protocol prior to launch.</w:t>
      </w:r>
    </w:p>
    <w:p>
      <w:pPr>
        <w:spacing w:after="0" w:before="100"/>
      </w:pPr>
      <w:r>
        <w:t xml:space="preserve"/>
      </w:r>
    </w:p>
    <w:p>
      <w:r>
        <w:br w:type="page"/>
      </w:r>
    </w:p>
    <w:p>
      <w:pPr>
        <w:pStyle w:val="Heading1"/>
        <w:pBdr>
          <w:bottom w:val="single" w:color="1A6B3C" w:sz="8" w:space="6"/>
        </w:pBdr>
        <w:spacing w:after="180" w:before="360"/>
      </w:pPr>
      <w:r>
        <w:rPr>
          <w:rFonts w:ascii="Arial" w:cs="Arial" w:eastAsia="Arial" w:hAnsi="Arial"/>
          <w:b/>
          <w:bCs/>
          <w:color w:val="1A6B3C"/>
          <w:sz w:val="36"/>
          <w:szCs w:val="36"/>
        </w:rPr>
        <w:t xml:space="preserve">14.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4726"/>
      </w:tblGrid>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Risk</w:t>
            </w:r>
          </w:p>
        </w:tc>
        <w:tc>
          <w:tcPr>
            <w:tcW w:type="dxa" w:w="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Likelihood</w:t>
            </w:r>
          </w:p>
        </w:tc>
        <w:tc>
          <w:tcPr>
            <w:tcW w:type="dxa" w:w="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Impact</w:t>
            </w:r>
          </w:p>
        </w:tc>
        <w:tc>
          <w:tcPr>
            <w:tcW w:type="dxa" w:w="47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color w:val="1A6B3C"/>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Fibre blend fails wet integrity test</w:t>
            </w:r>
          </w:p>
        </w:tc>
        <w:tc>
          <w:tcPr>
            <w:tcW w:type="dxa" w:w="9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High</w:t>
            </w:r>
          </w:p>
        </w:tc>
        <w:tc>
          <w:tcPr>
            <w:tcW w:type="dxa" w:w="4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Test multiple formulations in Phase 1; lyocell inclusion de-risks this significantly</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Bamboo lyocell supply chain disruption</w:t>
            </w:r>
          </w:p>
        </w:tc>
        <w:tc>
          <w:tcPr>
            <w:tcW w:type="dxa" w:w="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Low</w:t>
            </w:r>
          </w:p>
        </w:tc>
        <w:tc>
          <w:tcPr>
            <w:tcW w:type="dxa" w:w="9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High</w:t>
            </w:r>
          </w:p>
        </w:tc>
        <w:tc>
          <w:tcPr>
            <w:tcW w:type="dxa" w:w="47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Dual-source from 2+ suppliers; develop cotton-only fallback formulation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Consumer adoption of water-activation habit</w:t>
            </w:r>
          </w:p>
        </w:tc>
        <w:tc>
          <w:tcPr>
            <w:tcW w:type="dxa" w:w="9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High</w:t>
            </w:r>
          </w:p>
        </w:tc>
        <w:tc>
          <w:tcPr>
            <w:tcW w:type="dxa" w:w="4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Package with water sachet option; marketing that frames activation as a ritual, not an inconvenience</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Competitor launches similar product first</w:t>
            </w:r>
          </w:p>
        </w:tc>
        <w:tc>
          <w:tcPr>
            <w:tcW w:type="dxa" w:w="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Low</w:t>
            </w:r>
          </w:p>
        </w:tc>
        <w:tc>
          <w:tcPr>
            <w:tcW w:type="dxa" w:w="9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Medium</w:t>
            </w:r>
          </w:p>
        </w:tc>
        <w:tc>
          <w:tcPr>
            <w:tcW w:type="dxa" w:w="47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Accelerate patent filing; move quickly to market with pilot; build brand loyalty early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KEBS regulatory delay</w:t>
            </w:r>
          </w:p>
        </w:tc>
        <w:tc>
          <w:tcPr>
            <w:tcW w:type="dxa" w:w="9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Medium</w:t>
            </w:r>
          </w:p>
        </w:tc>
        <w:tc>
          <w:tcPr>
            <w:tcW w:type="dxa" w:w="4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Engage KEBS early in Phase 2; use KIRDI as technical partner to smooth regulatory pathway</w:t>
            </w:r>
          </w:p>
        </w:tc>
      </w:tr>
      <w:tr>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Unit economics not viable at pilot scale</w:t>
            </w:r>
          </w:p>
        </w:tc>
        <w:tc>
          <w:tcPr>
            <w:tcW w:type="dxa" w:w="9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High</w:t>
            </w:r>
          </w:p>
        </w:tc>
        <w:tc>
          <w:tcPr>
            <w:tcW w:type="dxa" w:w="4726"/>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Rigorous costing at Phase 2; explore contract manufacturing in lower-cost geographies for initial volumes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Greenwashing perception / certification gaps</w:t>
            </w:r>
          </w:p>
        </w:tc>
        <w:tc>
          <w:tcPr>
            <w:tcW w:type="dxa" w:w="9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Low</w:t>
            </w:r>
          </w:p>
        </w:tc>
        <w:tc>
          <w:tcPr>
            <w:tcW w:type="dxa" w:w="9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High</w:t>
            </w:r>
          </w:p>
        </w:tc>
        <w:tc>
          <w:tcPr>
            <w:tcW w:type="dxa" w:w="47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Prioritise OEKO-TEX and biodegradability certifications before any market claims are made</w:t>
            </w:r>
          </w:p>
        </w:tc>
      </w:tr>
    </w:tbl>
    <w:p>
      <w:pPr>
        <w:spacing w:after="0" w:before="200"/>
      </w:pPr>
      <w:r>
        <w:t xml:space="preserve"/>
      </w:r>
    </w:p>
    <w:p>
      <w:pPr>
        <w:pStyle w:val="Heading1"/>
        <w:pBdr>
          <w:bottom w:val="single" w:color="1A6B3C" w:sz="8" w:space="6"/>
        </w:pBdr>
        <w:spacing w:after="180" w:before="360"/>
      </w:pPr>
      <w:r>
        <w:rPr>
          <w:rFonts w:ascii="Arial" w:cs="Arial" w:eastAsia="Arial" w:hAnsi="Arial"/>
          <w:b/>
          <w:bCs/>
          <w:color w:val="1A6B3C"/>
          <w:sz w:val="36"/>
          <w:szCs w:val="36"/>
        </w:rPr>
        <w:t xml:space="preserve">15. Conclusion &amp; Next Steps</w:t>
      </w:r>
    </w:p>
    <w:p>
      <w:pPr>
        <w:spacing w:after="120" w:before="60"/>
        <w:jc w:val="both"/>
      </w:pPr>
      <w:r>
        <w:rPr>
          <w:rFonts w:ascii="Arial" w:cs="Arial" w:eastAsia="Arial" w:hAnsi="Arial"/>
          <w:b w:val="false"/>
          <w:bCs w:val="false"/>
          <w:color w:val="1A1A1A"/>
          <w:sz w:val="22"/>
          <w:szCs w:val="22"/>
        </w:rPr>
        <w:t xml:space="preserve">AquaLeaf™ represents a genuine, commercially viable innovation in the personal hygiene space. The concept is technically sound, the materials science is achievable using established processes, the market opportunity is large and growing, and the sustainability credentials are strong and verifiable. The product does not require inventing a new material — it requires applying the right combination of existing natural fibre science to a novel product format and user experience.</w:t>
      </w:r>
    </w:p>
    <w:p>
      <w:pPr>
        <w:spacing w:after="0" w:before="100"/>
      </w:pPr>
      <w:r>
        <w:t xml:space="preserve"/>
      </w:r>
    </w:p>
    <w:p>
      <w:pPr>
        <w:spacing w:after="120" w:before="60"/>
        <w:jc w:val="both"/>
      </w:pPr>
      <w:r>
        <w:rPr>
          <w:rFonts w:ascii="Arial" w:cs="Arial" w:eastAsia="Arial" w:hAnsi="Arial"/>
          <w:b w:val="false"/>
          <w:bCs w:val="false"/>
          <w:color w:val="1A1A1A"/>
          <w:sz w:val="22"/>
          <w:szCs w:val="22"/>
        </w:rPr>
        <w:t xml:space="preserve">The innovation gap is real: no mainstream product currently delivers dry-stored, water-activated, fully natural, preservative-free, biodegradable wipes at consumer scale. AquaLeaf™ is positioned to own that space.</w:t>
      </w:r>
    </w:p>
    <w:p>
      <w:pPr>
        <w:spacing w:after="0" w:before="100"/>
      </w:pPr>
      <w:r>
        <w:t xml:space="preserve"/>
      </w:r>
    </w:p>
    <w:p>
      <w:pPr>
        <w:pStyle w:val="Heading2"/>
        <w:spacing w:after="120" w:before="280"/>
      </w:pPr>
      <w:r>
        <w:rPr>
          <w:rFonts w:ascii="Arial" w:cs="Arial" w:eastAsia="Arial" w:hAnsi="Arial"/>
          <w:b/>
          <w:bCs/>
          <w:color w:val="2E8B57"/>
          <w:sz w:val="28"/>
          <w:szCs w:val="28"/>
        </w:rPr>
        <w:t xml:space="preserve">Immediate Next Steps</w:t>
      </w:r>
    </w:p>
    <w:p>
      <w:pPr>
        <w:pStyle w:val="ListParagraph"/>
        <w:numPr>
          <w:ilvl w:val="0"/>
          <w:numId w:val="3"/>
        </w:numPr>
        <w:spacing w:after="40" w:before="40"/>
      </w:pPr>
      <w:r>
        <w:rPr>
          <w:rFonts w:ascii="Arial" w:cs="Arial" w:eastAsia="Arial" w:hAnsi="Arial"/>
          <w:color w:val="1A1A1A"/>
          <w:sz w:val="22"/>
          <w:szCs w:val="22"/>
        </w:rPr>
        <w:t xml:space="preserve">Engage a nonwoven materials testing laboratory (e.g., Intertek, SGS, or a university materials science department) to conduct Phase 1 prototype trials on the 60/30/10 bamboo/cotton/lyocell formulation.</w:t>
      </w:r>
    </w:p>
    <w:p>
      <w:pPr>
        <w:pStyle w:val="ListParagraph"/>
        <w:numPr>
          <w:ilvl w:val="0"/>
          <w:numId w:val="3"/>
        </w:numPr>
        <w:spacing w:after="40" w:before="40"/>
      </w:pPr>
      <w:r>
        <w:rPr>
          <w:rFonts w:ascii="Arial" w:cs="Arial" w:eastAsia="Arial" w:hAnsi="Arial"/>
          <w:color w:val="1A1A1A"/>
          <w:sz w:val="22"/>
          <w:szCs w:val="22"/>
        </w:rPr>
        <w:t xml:space="preserve">Commission a freedom-to-operate patent search to identify any existing patents that may affect the proposed product format.</w:t>
      </w:r>
    </w:p>
    <w:p>
      <w:pPr>
        <w:pStyle w:val="ListParagraph"/>
        <w:numPr>
          <w:ilvl w:val="0"/>
          <w:numId w:val="3"/>
        </w:numPr>
        <w:spacing w:after="40" w:before="40"/>
      </w:pPr>
      <w:r>
        <w:rPr>
          <w:rFonts w:ascii="Arial" w:cs="Arial" w:eastAsia="Arial" w:hAnsi="Arial"/>
          <w:color w:val="1A1A1A"/>
          <w:sz w:val="22"/>
          <w:szCs w:val="22"/>
        </w:rPr>
        <w:t xml:space="preserve">File a provisional patent application to establish a priority date before any public disclosure.</w:t>
      </w:r>
    </w:p>
    <w:p>
      <w:pPr>
        <w:pStyle w:val="ListParagraph"/>
        <w:numPr>
          <w:ilvl w:val="0"/>
          <w:numId w:val="3"/>
        </w:numPr>
        <w:spacing w:after="40" w:before="40"/>
      </w:pPr>
      <w:r>
        <w:rPr>
          <w:rFonts w:ascii="Arial" w:cs="Arial" w:eastAsia="Arial" w:hAnsi="Arial"/>
          <w:color w:val="1A1A1A"/>
          <w:sz w:val="22"/>
          <w:szCs w:val="22"/>
        </w:rPr>
        <w:t xml:space="preserve">Engage KEBS and KIRDI for preliminary regulatory and technical guidance.</w:t>
      </w:r>
    </w:p>
    <w:p>
      <w:pPr>
        <w:pStyle w:val="ListParagraph"/>
        <w:numPr>
          <w:ilvl w:val="0"/>
          <w:numId w:val="3"/>
        </w:numPr>
        <w:spacing w:after="40" w:before="40"/>
      </w:pPr>
      <w:r>
        <w:rPr>
          <w:rFonts w:ascii="Arial" w:cs="Arial" w:eastAsia="Arial" w:hAnsi="Arial"/>
          <w:color w:val="1A1A1A"/>
          <w:sz w:val="22"/>
          <w:szCs w:val="22"/>
        </w:rPr>
        <w:t xml:space="preserve">Identify and approach 2–3 contract nonwoven manufacturing partners for Phase 3 pilot production quotations.</w:t>
      </w:r>
    </w:p>
    <w:p>
      <w:pPr>
        <w:spacing w:after="0" w:before="200"/>
      </w:pPr>
      <w:r>
        <w:t xml:space="preserve"/>
      </w:r>
    </w:p>
    <w:p>
      <w:pPr>
        <w:pBdr>
          <w:top w:val="single" w:color="C6E6D2" w:sz="4" w:space="8"/>
        </w:pBdr>
        <w:spacing w:after="60" w:before="300"/>
        <w:jc w:val="center"/>
      </w:pPr>
      <w:r>
        <w:rPr>
          <w:rFonts w:ascii="Arial" w:cs="Arial" w:eastAsia="Arial" w:hAnsi="Arial"/>
          <w:color w:val="1A6B3C"/>
          <w:sz w:val="24"/>
          <w:szCs w:val="24"/>
        </w:rPr>
        <w:t xml:space="preserve">AquaLeaf™ — Clean naturally. Activate simply.</w:t>
      </w:r>
    </w:p>
    <w:p>
      <w:pPr>
        <w:spacing w:after="0" w:before="0"/>
        <w:jc w:val="center"/>
      </w:pPr>
      <w:r>
        <w:rPr>
          <w:rFonts w:ascii="Arial" w:cs="Arial" w:eastAsia="Arial" w:hAnsi="Arial"/>
          <w:color w:val="444444"/>
          <w:sz w:val="18"/>
          <w:szCs w:val="18"/>
        </w:rPr>
        <w:t xml:space="preserve">Innovation Proposal Document — Confidential — May 2025</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6" w:space="4"/>
      </w:pBdr>
      <w:tabs>
        <w:tab w:val="right" w:pos="9026"/>
      </w:tabs>
      <w:spacing w:after="0" w:before="100"/>
    </w:pPr>
    <w:r>
      <w:rPr>
        <w:rFonts w:ascii="Arial" w:cs="Arial" w:eastAsia="Arial" w:hAnsi="Arial"/>
        <w:color w:val="444444"/>
        <w:sz w:val="18"/>
        <w:szCs w:val="18"/>
      </w:rPr>
      <w:t xml:space="preserve">Confidential — Innovation Proposal 2025</w:t>
    </w:r>
    <w:r>
      <w:rPr>
        <w:rFonts w:ascii="Arial" w:cs="Arial" w:eastAsia="Arial" w:hAnsi="Arial"/>
        <w:color w:val="444444"/>
        <w:sz w:val="18"/>
        <w:szCs w:val="18"/>
      </w:rPr>
      <w:t xml:space="preserve">	Page </w:t>
    </w:r>
    <w:r>
      <w:rPr>
        <w:rFonts w:ascii="Arial" w:cs="Arial" w:eastAsia="Arial" w:hAnsi="Arial"/>
        <w:color w:val="1A6B3C"/>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1A6B3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space="4"/>
      </w:pBdr>
      <w:spacing w:after="100" w:before="0"/>
    </w:pPr>
    <w:r>
      <w:rPr>
        <w:rFonts w:ascii="Arial" w:cs="Arial" w:eastAsia="Arial" w:hAnsi="Arial"/>
        <w:b/>
        <w:bCs/>
        <w:color w:val="1A6B3C"/>
        <w:sz w:val="20"/>
        <w:szCs w:val="20"/>
      </w:rPr>
      <w:t xml:space="preserve">AquaLeaf™ — Water-Activated Natural Fibre Wipe</w:t>
    </w:r>
    <w:r>
      <w:rPr>
        <w:rFonts w:ascii="Arial" w:cs="Arial" w:eastAsia="Arial" w:hAnsi="Arial"/>
        <w:color w:val="444444"/>
        <w:sz w:val="18"/>
        <w:szCs w:val="18"/>
      </w:rPr>
      <w:t xml:space="preserve">    |    Project Innovation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6B3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B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2026-05-02T07:49:38.054Z</dcterms:created>
  <dcterms:modified xsi:type="dcterms:W3CDTF">2026-05-02T07:49:38.055Z</dcterms:modified>
</cp:coreProperties>
</file>

<file path=docProps/custom.xml><?xml version="1.0" encoding="utf-8"?>
<Properties xmlns="http://schemas.openxmlformats.org/officeDocument/2006/custom-properties" xmlns:vt="http://schemas.openxmlformats.org/officeDocument/2006/docPropsVTypes"/>
</file>