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44"/>
        </w:rPr>
        <w:t>SEO, GEO &amp; Search Console — Explained in Plain English</w:t>
      </w:r>
    </w:p>
    <w:p>
      <w:r>
        <w:rPr>
          <w:i/>
          <w:color w:val="6B7280"/>
          <w:sz w:val="20"/>
        </w:rPr>
        <w:t>What we built, why it matters, and how to explain it to anyone.  ·  NexDyne Consulting Group  ·  July 19, 2026</w:t>
      </w:r>
    </w:p>
    <w:p>
      <w:r>
        <w:rPr>
          <w:b/>
          <w:color w:val="1A1A1A"/>
          <w:sz w:val="28"/>
        </w:rPr>
        <w:t>The problem we started with</w:t>
      </w:r>
    </w:p>
    <w:p>
      <w:r>
        <w:rPr>
          <w:b w:val="0"/>
          <w:i w:val="0"/>
        </w:rPr>
        <w:t xml:space="preserve">The website was a great store on a street with </w:t>
      </w:r>
      <w:r>
        <w:rPr>
          <w:b/>
          <w:i w:val="0"/>
        </w:rPr>
        <w:t>no signs pointing to it</w:t>
      </w:r>
      <w:r>
        <w:rPr>
          <w:b w:val="0"/>
          <w:i w:val="0"/>
        </w:rPr>
        <w:t xml:space="preserve"> — and the signs that did exist pointed to the </w:t>
      </w:r>
      <w:r>
        <w:rPr>
          <w:b/>
          <w:i w:val="0"/>
        </w:rPr>
        <w:t>wrong addresses</w:t>
      </w:r>
      <w:r>
        <w:rPr>
          <w:b w:val="0"/>
          <w:i w:val="0"/>
        </w:rPr>
        <w:t xml:space="preserve"> (old domains: newco.tech, nexdyne.tech). Google and AI tools either couldn't find the site properly or were being told it lived somewhere else.</w:t>
      </w:r>
    </w:p>
    <w:p>
      <w:r>
        <w:rPr>
          <w:b/>
          <w:color w:val="DE2F23"/>
          <w:sz w:val="28"/>
        </w:rPr>
        <w:t xml:space="preserve">1 · </w:t>
      </w:r>
      <w:r>
        <w:rPr>
          <w:b/>
          <w:color w:val="1A1A1A"/>
          <w:sz w:val="28"/>
        </w:rPr>
        <w:t>SEO — getting found by search engines (Google, Bing)</w:t>
      </w:r>
    </w:p>
    <w:p>
      <w:r>
        <w:rPr>
          <w:b w:val="0"/>
          <w:i/>
        </w:rPr>
        <w:t xml:space="preserve">Think of Google as a </w:t>
      </w:r>
      <w:r>
        <w:rPr>
          <w:b/>
          <w:i/>
        </w:rPr>
        <w:t>librarian cataloging the internet</w:t>
      </w:r>
      <w:r>
        <w:rPr>
          <w:b w:val="0"/>
          <w:i/>
        </w:rPr>
        <w:t>. We did four things so the librarian catalogs NexDyne correctly.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576"/>
        <w:gridCol w:w="2736"/>
        <w:gridCol w:w="6048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did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Plain-English meaning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Fixed the address everywhere</w:t>
            </w:r>
          </w:p>
        </w:tc>
        <w:tc>
          <w:tcPr>
            <w:tcW w:type="dxa" w:w="2880"/>
          </w:tcPr>
          <w:p>
            <w:r>
              <w:t>Every page now declares its true home: nexdynegroup.com. Before, pages told Google “my real address is nexdyne.tech” — a domain we don't use.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Built a sitemap</w:t>
            </w:r>
          </w:p>
        </w:tc>
        <w:tc>
          <w:tcPr>
            <w:tcW w:type="dxa" w:w="2880"/>
          </w:tcPr>
          <w:p>
            <w:r>
              <w:t>A literal table of contents of all 1,116 pages, so Google doesn't have to stumble around discovering them one link at a time.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robots.txt</w:t>
            </w:r>
          </w:p>
        </w:tc>
        <w:tc>
          <w:tcPr>
            <w:tcW w:type="dxa" w:w="2880"/>
          </w:tcPr>
          <w:p>
            <w:r>
              <w:t>The “rules at the front door”: who may come in, what to skip (/api/), and where the table of contents lives.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 search-targeted articles</w:t>
            </w:r>
          </w:p>
        </w:tc>
        <w:tc>
          <w:tcPr>
            <w:tcW w:type="dxa" w:w="2880"/>
          </w:tcPr>
          <w:p>
            <w:r>
              <w:t>Written to match what customers actually type into Google: “is my business ready for AI” · “what should a small business automate first” · “AI readiness checklist.” The article answers the search → ends with the free guide → the reader enters the funnel.</w:t>
            </w:r>
          </w:p>
        </w:tc>
      </w:tr>
    </w:tbl>
    <w:p/>
    <w:p>
      <w:r>
        <w:rPr>
          <w:b/>
          <w:color w:val="DE2F23"/>
          <w:sz w:val="28"/>
        </w:rPr>
        <w:t xml:space="preserve">2 · </w:t>
      </w:r>
      <w:r>
        <w:rPr>
          <w:b/>
          <w:color w:val="1A1A1A"/>
          <w:sz w:val="28"/>
        </w:rPr>
        <w:t>GEO — getting cited by AI (ChatGPT, Perplexity, Claude, Google AI answers)</w:t>
      </w:r>
    </w:p>
    <w:p>
      <w:r>
        <w:rPr>
          <w:b w:val="0"/>
          <w:i/>
        </w:rPr>
        <w:t xml:space="preserve">The new game: more and more buyers don't Google — they </w:t>
      </w:r>
      <w:r>
        <w:rPr>
          <w:b/>
          <w:i/>
        </w:rPr>
        <w:t>ask an AI</w:t>
      </w:r>
      <w:r>
        <w:rPr>
          <w:b w:val="0"/>
          <w:i/>
        </w:rPr>
        <w:t xml:space="preserve">. The AI answers from what it has read, and cites sources. GEO makes sure that when someone asks “how do I know if my business is ready for AI?”, </w:t>
      </w:r>
      <w:r>
        <w:rPr>
          <w:b/>
          <w:i/>
        </w:rPr>
        <w:t>the answer comes from NexDyne and mentions NexDyne.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576"/>
        <w:gridCol w:w="2736"/>
        <w:gridCol w:w="6048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did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Plain-English meaning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llms.txt</w:t>
            </w:r>
          </w:p>
        </w:tc>
        <w:tc>
          <w:tcPr>
            <w:tcW w:type="dxa" w:w="2880"/>
          </w:tcPr>
          <w:p>
            <w:r>
              <w:t>A briefing document written specifically for AI systems: who NexDyne is, what we believe (HIG™), our free tools, our key pages. A press kit for robots.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Structured data (schema)</w:t>
            </w:r>
          </w:p>
        </w:tc>
        <w:tc>
          <w:tcPr>
            <w:tcW w:type="dxa" w:w="2880"/>
          </w:tcPr>
          <w:p>
            <w:r>
              <w:t>Invisible machine-readable labels on pages: “this is an Organization named NexDyne, founded by David Seyaker, at this address” · “this is an FAQ” · “this is an Article.” AI systems trust labeled facts more than prose.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Opened the door ⚠</w:t>
            </w:r>
          </w:p>
        </w:tc>
        <w:tc>
          <w:tcPr>
            <w:tcW w:type="dxa" w:w="2880"/>
          </w:tcPr>
          <w:p>
            <w:r>
              <w:t>The big catch: Cloudflare was actively blocking every AI crawler (GPTBot, ClaudeBot, Perplexity's bot…). All the GEO work would have been useless with the door locked. We unblocked them — general bot defense stays 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Citable content</w:t>
            </w:r>
          </w:p>
        </w:tc>
        <w:tc>
          <w:tcPr>
            <w:tcW w:type="dxa" w:w="2880"/>
          </w:tcPr>
          <w:p>
            <w:r>
              <w:t>The articles are written the way AI likes to quote: a direct answer in the first paragraph, real statistics with named sources, clean definitions.</w:t>
            </w:r>
          </w:p>
        </w:tc>
      </w:tr>
    </w:tbl>
    <w:p/>
    <w:p>
      <w:r>
        <w:rPr>
          <w:b/>
          <w:color w:val="DE2F23"/>
          <w:sz w:val="28"/>
        </w:rPr>
        <w:t xml:space="preserve">3 · </w:t>
      </w:r>
      <w:r>
        <w:rPr>
          <w:b/>
          <w:color w:val="1A1A1A"/>
          <w:sz w:val="28"/>
        </w:rPr>
        <w:t>Google Search Console — what is it for?</w:t>
      </w:r>
    </w:p>
    <w:p>
      <w:r>
        <w:rPr>
          <w:b w:val="0"/>
          <w:i w:val="0"/>
        </w:rPr>
        <w:t xml:space="preserve">GSC is </w:t>
      </w:r>
      <w:r>
        <w:rPr>
          <w:b/>
          <w:i w:val="0"/>
        </w:rPr>
        <w:t>Google's free control panel for website owners</w:t>
      </w:r>
      <w:r>
        <w:rPr>
          <w:b w:val="0"/>
          <w:i w:val="0"/>
        </w:rPr>
        <w:t xml:space="preserve"> — the only official way to talk to Google about your site.</w:t>
      </w:r>
    </w:p>
    <w:p>
      <w:r>
        <w:rPr>
          <w:b/>
          <w:i w:val="0"/>
        </w:rPr>
        <w:t>What we did there:</w:t>
      </w:r>
    </w:p>
    <w:p>
      <w:pPr>
        <w:pStyle w:val="ListBullet"/>
      </w:pPr>
      <w:r>
        <w:t>Verified ownership of nexdynegroup.com (auto-passed via Google Workspace)</w:t>
      </w:r>
    </w:p>
    <w:p>
      <w:pPr>
        <w:pStyle w:val="ListBullet"/>
      </w:pPr>
      <w:r>
        <w:t>Handed Google the sitemap — all 1,116 pages accepted on the spot</w:t>
      </w:r>
    </w:p>
    <w:p>
      <w:r>
        <w:rPr>
          <w:b/>
          <w:i w:val="0"/>
        </w:rPr>
        <w:t xml:space="preserve">What it's for going forward — the scoreboard. </w:t>
      </w:r>
      <w:r>
        <w:rPr>
          <w:b w:val="0"/>
          <w:i w:val="0"/>
        </w:rPr>
        <w:t>In a few weeks it will show: which pages Google has indexed · what searches people typed when the site appeared · how many clicked. That's how we'll know the articles are ranking — real data, not guessing.</w:t>
      </w:r>
    </w:p>
    <w:p>
      <w:r>
        <w:rPr>
          <w:b/>
          <w:color w:val="1A1A1A"/>
          <w:sz w:val="28"/>
        </w:rPr>
        <w:t>The one-sentence version</w:t>
      </w:r>
    </w:p>
    <w:p>
      <w:r>
        <w:rPr>
          <w:b/>
          <w:color w:val="DE2F23"/>
          <w:sz w:val="24"/>
        </w:rPr>
        <w:t>SEO makes Google recommend you. GEO makes AI assistants recommend you. Search Console is the dashboard where you watch it happening — and all roads lead to the free guides, which capture the lead and start the machine.</w:t>
      </w:r>
    </w:p>
    <w:p>
      <w:r>
        <w:rPr>
          <w:b/>
          <w:color w:val="1A1A1A"/>
          <w:sz w:val="28"/>
        </w:rPr>
        <w:t>Expectation setting</w:t>
      </w:r>
    </w:p>
    <w:p>
      <w:r>
        <w:rPr>
          <w:b w:val="0"/>
          <w:i w:val="0"/>
        </w:rPr>
        <w:t xml:space="preserve">Nothing here pays off overnight — search and AI visibility </w:t>
      </w:r>
      <w:r>
        <w:rPr>
          <w:b/>
          <w:i w:val="0"/>
        </w:rPr>
        <w:t>compound over weeks and months</w:t>
      </w:r>
      <w:r>
        <w:rPr>
          <w:b w:val="0"/>
          <w:i w:val="0"/>
        </w:rPr>
        <w:t>. But the plumbing is now correct, the doors are open, and the meter is running.</w:t>
      </w:r>
    </w:p>
    <w:p>
      <w:r>
        <w:rPr>
          <w:b/>
          <w:color w:val="1A1A1A"/>
          <w:sz w:val="28"/>
        </w:rPr>
        <w:t>How it connects to the funnel</w:t>
      </w:r>
    </w:p>
    <w:p>
      <w:r>
        <w:rPr>
          <w:rFonts w:ascii="Courier New" w:hAnsi="Courier New"/>
          <w:sz w:val="18"/>
        </w:rPr>
        <w:t>Someone searches Google   →  cluster article   →  free guide CTA  ┐</w:t>
      </w:r>
    </w:p>
    <w:p>
      <w:r>
        <w:rPr>
          <w:rFonts w:ascii="Courier New" w:hAnsi="Courier New"/>
          <w:sz w:val="18"/>
        </w:rPr>
        <w:t>Someone asks an AI        →  AI cites NexDyne  →  visits site     ┼→  capture → nurture</w:t>
      </w:r>
    </w:p>
    <w:p>
      <w:r>
        <w:rPr>
          <w:rFonts w:ascii="Courier New" w:hAnsi="Courier New"/>
          <w:sz w:val="18"/>
        </w:rPr>
        <w:t>Someone browses the site  →  promo bands/CTAs  →  free guide      ┘    → newsletter → assessment →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