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102E"/>
          <w:sz w:val="18"/>
        </w:rPr>
        <w:t>BRAND POSITIONING — THE DAILY LEAD</w:t>
      </w:r>
    </w:p>
    <w:p>
      <w:r>
        <w:rPr>
          <w:b/>
          <w:color w:val="1B1B1B"/>
          <w:sz w:val="40"/>
        </w:rPr>
        <w:t>NexDyne’s Proposition: Enhancing Human Intelligence to Drive Innovation in the Age of AI</w:t>
      </w:r>
    </w:p>
    <w:p>
      <w:r>
        <w:rPr>
          <w:i/>
          <w:color w:val="777777"/>
          <w:sz w:val="20"/>
        </w:rPr>
        <w:t>NexDyne Consulting Group · Brand &amp; Positioning · July 2026</w:t>
      </w:r>
    </w:p>
    <w:p>
      <w:r>
        <w:t>This is what we lead with every day — in a post, a pitch, a cover image, a first meeting. It is the answer to “what does NexDyne do?” before any capability, industry, or framework is named.</w:t>
      </w:r>
    </w:p>
    <w:p>
      <w:pPr>
        <w:spacing w:before="240"/>
      </w:pPr>
      <w:r>
        <w:rPr>
          <w:b/>
          <w:color w:val="1B1B1B"/>
          <w:sz w:val="28"/>
        </w:rPr>
        <w:t>The one line</w:t>
      </w:r>
    </w:p>
    <w:p>
      <w:pPr>
        <w:ind w:left="432"/>
      </w:pPr>
      <w:r>
        <w:rPr>
          <w:b/>
          <w:i/>
          <w:color w:val="1B1B1B"/>
          <w:sz w:val="24"/>
        </w:rPr>
        <w:t>We enhance human intelligence to drive innovation in the age of artificial intelligence.</w:t>
      </w:r>
    </w:p>
    <w:p>
      <w:r>
        <w:t>Read it closely, because every word is load-bearing:</w:t>
      </w:r>
    </w:p>
    <w:p>
      <w:pPr>
        <w:pStyle w:val="ListBullet"/>
      </w:pPr>
      <w:r>
        <w:t>“Human intelligence” — our subject and our brand. Not AI. The human is the protagonist; AI is the amplifier. This is what makes us different from every AI vendor.</w:t>
      </w:r>
    </w:p>
    <w:p>
      <w:pPr>
        <w:pStyle w:val="ListBullet"/>
      </w:pPr>
      <w:r>
        <w:t>“Enhance” — active and additive. We make people more capable; we do not caretake or protect them from technology.</w:t>
      </w:r>
    </w:p>
    <w:p>
      <w:pPr>
        <w:pStyle w:val="ListBullet"/>
      </w:pPr>
      <w:r>
        <w:t>“Drive innovation” — the outcome a business pays for. Not “won’t be replaced,” not “safe.” Advantage.</w:t>
      </w:r>
    </w:p>
    <w:p>
      <w:pPr>
        <w:pStyle w:val="ListBullet"/>
      </w:pPr>
      <w:r>
        <w:t>“In the age of artificial intelligence” — names the moment without making AI the hero. AI is the context; human intelligence is the answer.</w:t>
      </w:r>
    </w:p>
    <w:p>
      <w:pPr>
        <w:spacing w:before="240"/>
      </w:pPr>
      <w:r>
        <w:rPr>
          <w:b/>
          <w:color w:val="1B1B1B"/>
          <w:sz w:val="28"/>
        </w:rPr>
        <w:t>Where HIG fits (and where it does not)</w:t>
      </w:r>
    </w:p>
    <w:p>
      <w:r>
        <w:t>HIG — Human Intelligence, Governed — is our operating discipline: the framework that makes the enhancement safe, accountable, and scalable. It is the HOW, not the WHY. We were leading with the framework; that is like a car company leading with its safety cage instead of the drive. Correct order:</w:t>
      </w:r>
    </w:p>
    <w:p>
      <w:pPr>
        <w:pStyle w:val="ListBullet"/>
      </w:pPr>
      <w:r>
        <w:t>LEAD (the why) — We enhance human intelligence to drive innovation.</w:t>
      </w:r>
    </w:p>
    <w:p>
      <w:pPr>
        <w:pStyle w:val="ListBullet"/>
      </w:pPr>
      <w:r>
        <w:t>SUPPORT (the how) — We do it through HIG, so the results are governed, defensible, and built to scale.</w:t>
      </w:r>
    </w:p>
    <w:p>
      <w:r>
        <w:t>HIG earns trust once someone is interested. The proposition earns the interest in the first place. Never open with the governance framework again.</w:t>
      </w:r>
    </w:p>
    <w:p>
      <w:pPr>
        <w:spacing w:before="240"/>
      </w:pPr>
      <w:r>
        <w:rPr>
          <w:b/>
          <w:color w:val="1B1B1B"/>
          <w:sz w:val="28"/>
        </w:rPr>
        <w:t>How we differ — the three foils</w:t>
      </w:r>
    </w:p>
    <w:p>
      <w:r>
        <w:rPr>
          <w:b/>
          <w:color w:val="C8102E"/>
          <w:sz w:val="24"/>
        </w:rPr>
        <w:t>vs. institutions (Stanford HAI and peers)</w:t>
      </w:r>
    </w:p>
    <w:p>
      <w:r>
        <w:t>They study and guide; they ask “how is AI intersecting with our world?” and frame AI as “augment, not replace.” We are hired to deliver, so we assert and advance: we don’t protect your people from AI — we make your people, amplified by AI and governed by us, outperform. We answer their question inside your business.</w:t>
      </w:r>
    </w:p>
    <w:p>
      <w:r>
        <w:rPr>
          <w:b/>
          <w:color w:val="C8102E"/>
          <w:sz w:val="24"/>
        </w:rPr>
        <w:t>vs. AI vendors and tool-sellers</w:t>
      </w:r>
    </w:p>
    <w:p>
      <w:r>
        <w:t>They lead with the model, the platform, the automation — the machine is the hero and the human is a cost to remove. We invert it: the human is the hero and AI is the amplifier. That is why our results are defensible and theirs are fragile — judgment, not just software, is what compounds.</w:t>
      </w:r>
    </w:p>
    <w:p>
      <w:r>
        <w:rPr>
          <w:b/>
          <w:color w:val="C8102E"/>
          <w:sz w:val="24"/>
        </w:rPr>
        <w:t>vs. traditional consultancies</w:t>
      </w:r>
    </w:p>
    <w:p>
      <w:r>
        <w:t>They sell decks and frameworks and leave. We install a capability — human intelligence, governed and scaled — that keeps producing after we go. “From PowerPoint to production” is not a slogan; it is the difference between advice and an engine.</w:t>
      </w:r>
    </w:p>
    <w:p>
      <w:pPr>
        <w:spacing w:before="240"/>
      </w:pPr>
      <w:r>
        <w:rPr>
          <w:b/>
          <w:color w:val="1B1B1B"/>
          <w:sz w:val="28"/>
        </w:rPr>
        <w:t>Message pillars (use these to generate content)</w:t>
      </w:r>
    </w:p>
    <w:p>
      <w:pPr>
        <w:pStyle w:val="ListBullet"/>
      </w:pPr>
      <w:r>
        <w:t>The human is the protagonist. In every story, a person makes a better decision because AI — governed — gave them reach they didn’t have.</w:t>
      </w:r>
    </w:p>
    <w:p>
      <w:pPr>
        <w:pStyle w:val="ListBullet"/>
      </w:pPr>
      <w:r>
        <w:t>Enhancement over replacement. We never sell headcount reduction as the point. We sell capability multiplied.</w:t>
      </w:r>
    </w:p>
    <w:p>
      <w:pPr>
        <w:pStyle w:val="ListBullet"/>
      </w:pPr>
      <w:r>
        <w:t>Innovation is the outcome. Governance is the enabler. Speed with control, not speed or control.</w:t>
      </w:r>
    </w:p>
    <w:p>
      <w:pPr>
        <w:pStyle w:val="ListBullet"/>
      </w:pPr>
      <w:r>
        <w:t>Defensible by design. Every claim, every result, survives the question “says who?” — because judgment and governance sit underneath it.</w:t>
      </w:r>
    </w:p>
    <w:p>
      <w:pPr>
        <w:spacing w:before="240"/>
      </w:pPr>
      <w:r>
        <w:rPr>
          <w:b/>
          <w:color w:val="1B1B1B"/>
          <w:sz w:val="28"/>
        </w:rPr>
        <w:t>Say this / not that</w:t>
      </w:r>
    </w:p>
    <w:p>
      <w:pPr>
        <w:pStyle w:val="ListBullet"/>
      </w:pPr>
      <w:r>
        <w:t>SAY: “We enhance human intelligence to drive innovation.”  NOT: “We do AI governance.”</w:t>
      </w:r>
    </w:p>
    <w:p>
      <w:pPr>
        <w:pStyle w:val="ListBullet"/>
      </w:pPr>
      <w:r>
        <w:t>SAY: “Your people, amplified and governed, outperform.”  NOT: “AI won’t replace your people.”</w:t>
      </w:r>
    </w:p>
    <w:p>
      <w:pPr>
        <w:pStyle w:val="ListBullet"/>
      </w:pPr>
      <w:r>
        <w:t>SAY: “From pilot to production, safely and at speed.”  NOT: “We help you explore AI.”</w:t>
      </w:r>
    </w:p>
    <w:p>
      <w:pPr>
        <w:pStyle w:val="ListBullet"/>
      </w:pPr>
      <w:r>
        <w:t>SAY a statement.  NOT a question. We answer; we don’t wonder.</w:t>
      </w:r>
    </w:p>
    <w:p>
      <w:pPr>
        <w:spacing w:before="240"/>
      </w:pPr>
      <w:r>
        <w:rPr>
          <w:b/>
          <w:color w:val="1B1B1B"/>
          <w:sz w:val="28"/>
        </w:rPr>
        <w:t>Ready-to-use lines (by surface)</w:t>
      </w:r>
    </w:p>
    <w:p>
      <w:pPr>
        <w:pStyle w:val="ListBullet"/>
      </w:pPr>
      <w:r>
        <w:t>Cover / banner: “Using human intelligence to drive innovations.”</w:t>
      </w:r>
    </w:p>
    <w:p>
      <w:pPr>
        <w:pStyle w:val="ListBullet"/>
      </w:pPr>
      <w:r>
        <w:t>Elevator: “NexDyne enhances human intelligence to drive innovation in the age of AI — governed, so it scales.”</w:t>
      </w:r>
    </w:p>
    <w:p>
      <w:pPr>
        <w:pStyle w:val="ListBullet"/>
      </w:pPr>
      <w:r>
        <w:t>LinkedIn bio line: “We make your people, amplified by AI and governed by discipline, outperform.”</w:t>
      </w:r>
    </w:p>
    <w:p>
      <w:pPr>
        <w:pStyle w:val="ListBullet"/>
      </w:pPr>
      <w:r>
        <w:t>One-word essence: Amplify.</w:t>
      </w:r>
    </w:p>
    <w:p>
      <w:r>
        <w:t>——————————————————————————————</w:t>
      </w:r>
    </w:p>
    <w:p>
      <w:r>
        <w:rPr>
          <w:color w:val="999999"/>
          <w:sz w:val="16"/>
        </w:rPr>
        <w:t>Positioning derived from competitive analysis of Stanford HAI (see companion research doc) and NexDyne’s HIG doctrine. NexDyne Consulting Group, July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