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18"/>
        </w:rPr>
        <w:t>COMPETITIVE POSITIONING RESEARCH</w:t>
      </w:r>
    </w:p>
    <w:p>
      <w:r>
        <w:rPr>
          <w:b/>
          <w:color w:val="1B1B1B"/>
          <w:sz w:val="40"/>
        </w:rPr>
        <w:t>Stanford HAI — How a Human-Centered AI Institution Positions Itself</w:t>
      </w:r>
    </w:p>
    <w:p>
      <w:r>
        <w:rPr>
          <w:i/>
          <w:color w:val="777777"/>
          <w:sz w:val="20"/>
        </w:rPr>
        <w:t>NexDyne Consulting Group · Brand &amp; Positioning · July 2026</w:t>
      </w:r>
    </w:p>
    <w:p>
      <w:r>
        <w:t>We studied the Stanford Institute for Human-Centered Artificial Intelligence (HAI) because it is the most recognizable brand built entirely around the phrase “human-centered AI.” Understanding exactly how they own that idea — and where an institution’s voice differs from a corporation’s — sharpens how NexDyne should sound every day.</w:t>
      </w:r>
    </w:p>
    <w:p>
      <w:pPr>
        <w:spacing w:before="240"/>
      </w:pPr>
      <w:r>
        <w:rPr>
          <w:b/>
          <w:color w:val="1B1B1B"/>
          <w:sz w:val="28"/>
        </w:rPr>
        <w:t>What Stanford HAI is</w:t>
      </w:r>
    </w:p>
    <w:p>
      <w:r>
        <w:t>A university research institute (founded 2019, co-led by Fei-Fei Li and John Etchemendy). It advances AI through research, education, and policy. It is not selling a service or a transformation — it is producing knowledge, shaping policy, and convening the field. That distinction drives everything about how it speaks.</w:t>
      </w:r>
    </w:p>
    <w:p>
      <w:pPr>
        <w:spacing w:before="240"/>
      </w:pPr>
      <w:r>
        <w:rPr>
          <w:b/>
          <w:color w:val="1B1B1B"/>
          <w:sz w:val="28"/>
        </w:rPr>
        <w:t>Their exact positioning language</w:t>
      </w:r>
    </w:p>
    <w:p>
      <w:pPr>
        <w:ind w:left="432"/>
      </w:pPr>
      <w:r>
        <w:rPr>
          <w:b/>
          <w:i/>
          <w:color w:val="1B1B1B"/>
          <w:sz w:val="24"/>
        </w:rPr>
        <w:t>Mission: “Advance AI research, education, policy, and practice to improve the human condition.”</w:t>
      </w:r>
    </w:p>
    <w:p>
      <w:pPr>
        <w:ind w:left="432"/>
      </w:pPr>
      <w:r>
        <w:rPr>
          <w:b/>
          <w:i/>
          <w:color w:val="1B1B1B"/>
          <w:sz w:val="24"/>
        </w:rPr>
        <w:t>Vision: AI “guided by its human impact, inspired by human intelligence, and designed to augment, not replace, people.”</w:t>
      </w:r>
    </w:p>
    <w:p>
      <w:r>
        <w:t>Three stated research pillars: Intelligence (machine understanding of human language and emotion), Augment Human Capabilities (enhance human work rather than replace it), and Human Impact (how AI interacts with institutions and society).</w:t>
      </w:r>
    </w:p>
    <w:p>
      <w:pPr>
        <w:spacing w:before="240"/>
      </w:pPr>
      <w:r>
        <w:rPr>
          <w:b/>
          <w:color w:val="1B1B1B"/>
          <w:sz w:val="28"/>
        </w:rPr>
        <w:t>How they talk — the voice</w:t>
      </w:r>
    </w:p>
    <w:p>
      <w:pPr>
        <w:pStyle w:val="ListBullet"/>
      </w:pPr>
      <w:r>
        <w:t>They lead with a QUESTION. Their social cover reads: “How is AI intersecting with our world?” A question signals inquiry and humility — exactly right for a research body.</w:t>
      </w:r>
    </w:p>
    <w:p>
      <w:pPr>
        <w:pStyle w:val="ListBullet"/>
      </w:pPr>
      <w:r>
        <w:t>They frame protectively: “augment, NOT replace.” The reassurance is that AI will not displace people.</w:t>
      </w:r>
    </w:p>
    <w:p>
      <w:pPr>
        <w:pStyle w:val="ListBullet"/>
      </w:pPr>
      <w:r>
        <w:t>They speak in the collective and the aspirational: “improve the human condition,” “serve the collective needs of humanity.”</w:t>
      </w:r>
    </w:p>
    <w:p>
      <w:pPr>
        <w:pStyle w:val="ListBullet"/>
      </w:pPr>
      <w:r>
        <w:t>They name the gap and position as guide: “a widening gap between what AI can do and how prepared we are to manage it.”</w:t>
      </w:r>
    </w:p>
    <w:p>
      <w:pPr>
        <w:spacing w:before="240"/>
      </w:pPr>
      <w:r>
        <w:rPr>
          <w:b/>
          <w:color w:val="1B1B1B"/>
          <w:sz w:val="28"/>
        </w:rPr>
        <w:t>What we take from them</w:t>
      </w:r>
    </w:p>
    <w:p>
      <w:r>
        <w:t>Three things are worth borrowing, and one thing we must deliberately NOT copy.</w:t>
      </w:r>
    </w:p>
    <w:p>
      <w:pPr>
        <w:pStyle w:val="ListBullet"/>
      </w:pPr>
      <w:r>
        <w:t>BORROW — the discipline of one owned idea. They own “human-centered.” We should own “human intelligence.”</w:t>
      </w:r>
    </w:p>
    <w:p>
      <w:pPr>
        <w:pStyle w:val="ListBullet"/>
      </w:pPr>
      <w:r>
        <w:t>BORROW — restraint and confidence in the visual voice (calm, editorial, one line of type over a strong image).</w:t>
      </w:r>
    </w:p>
    <w:p>
      <w:pPr>
        <w:pStyle w:val="ListBullet"/>
      </w:pPr>
      <w:r>
        <w:t>BORROW — naming the tension in the market (the gap between AI’s capability and organizations’ readiness) — that tension is our entire reason to exist.</w:t>
      </w:r>
    </w:p>
    <w:p>
      <w:pPr>
        <w:pStyle w:val="ListBullet"/>
      </w:pPr>
      <w:r>
        <w:t>DO NOT COPY — the QUESTION format and the defensive “not replace” framing. An institution can afford to wonder and reassure. A corporation that clients pay to deliver outcomes must ASSERT and ADVANCE. We answer the question in the client’s business; we don’t pose it on our banner.</w:t>
      </w:r>
    </w:p>
    <w:p>
      <w:pPr>
        <w:spacing w:before="240"/>
      </w:pPr>
      <w:r>
        <w:rPr>
          <w:b/>
          <w:color w:val="1B1B1B"/>
          <w:sz w:val="28"/>
        </w:rPr>
        <w:t>The strategic gap we exploit</w:t>
      </w:r>
    </w:p>
    <w:p>
      <w:r>
        <w:t>Stanford augments to PROTECT (keep humans in charge; don’t let AI replace them). NexDyne enhances to ADVANCE (human intelligence plus AI, governed well, becomes a competitive engine that ships innovation). That is the difference between reassurance and advantage — and it is the whole of our daily message.</w:t>
      </w:r>
    </w:p>
    <w:p>
      <w:r>
        <w:t>——————————————————————————————</w:t>
      </w:r>
    </w:p>
    <w:p>
      <w:r>
        <w:rPr>
          <w:color w:val="999999"/>
          <w:sz w:val="16"/>
        </w:rPr>
        <w:t>Sources: hai.stanford.edu/about, hai.stanford.edu, Stanford Report (news.stanford.edu). Public materials, retrieved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