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làm tăng nguy cơ mất an toàn giao thông. Luận văn thiết kế, triển khai và đánh giá một trợ lý AI bằng giọng nói giúp tài xế thực hiện các nghiệp vụ này mà không cần dùng tay.</w:t>
      </w:r>
    </w:p>
    <w:p>
      <w:pPr>
        <w:spacing w:after="120" w:before="0" w:line="360" w:lineRule="auto"/>
        <w:ind w:firstLine="567"/>
        <w:jc w:val="both"/>
      </w:pPr>
      <w:r>
        <w:rPr>
          <w:rFonts w:ascii="Times New Roman" w:hAnsi="Times New Roman" w:eastAsia="Times New Roman"/>
          <w:b w:val="0"/>
          <w:i w:val="0"/>
          <w:color w:val="000000"/>
          <w:sz w:val="26"/>
        </w:rPr>
        <w:t>Trợ lý hỗ trợ tiếng Việt là ngôn ngữ chính và tiếng Anh là ngôn ngữ thứ hai, với ba nhóm nghiệp vụ: tra cứu và quản lý chuyến đi, liên lạc với khách hàng, hỗ trợ trong lúc vận hành (nhắc giờ đón, trả lời câu hỏi thường gặp). Trợ lý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Về phương pháp, luận văn đặc tả năm yêu cầu phi chức năng theo mô hình chất lượng ISO/IEC 25010 (khả năng sử dụng, hiệu năng, khả năng mở rộng, khả năng phục hồi, bảo mật), từ đó lập luận lựa chọn kiến trúc microservices triển khai trên AWS. Tác nhân hội thoại giọng nói xử lý mỗi lượt theo chuỗi nhận dạng giọng nói – mô hình ngôn ngữ lớn kèm gọi công cụ – tổng hợp giọng nói (STT – LLM – TTS), có nhà cung cấp dự phòng cho từng khâu và câu đệm khi phản hồi chậm quá 2 giây. Các nghiệp vụ được thực hiện qua các dịch vụ riêng, mỗi dịch vụ sở hữu dữ liệu của mình.</w:t>
      </w:r>
    </w:p>
    <w:p>
      <w:pPr>
        <w:spacing w:after="120" w:before="0" w:line="360" w:lineRule="auto"/>
        <w:ind w:firstLine="567"/>
        <w:jc w:val="both"/>
      </w:pPr>
      <w:r>
        <w:rPr>
          <w:rFonts w:ascii="Times New Roman" w:hAnsi="Times New Roman" w:eastAsia="Times New Roman"/>
          <w:b w:val="0"/>
          <w:i w:val="0"/>
          <w:color w:val="000000"/>
          <w:sz w:val="26"/>
        </w:rPr>
        <w:t>Hệ thống được đánh giá theo từng yêu cầu: độ trễ phản hồi (ngưỡng định hướng P95 ≤ 2 giây), tỷ lệ lỗi từ khi nhận dạng giọng nói, độ chính xác gọi công cụ, tỷ lệ hoàn thành nghiệp vụ, khả năng mở rộng và khả năng phục hồi. Chương 6 trình bày số liệu kèm cỡ mẫu và giới hạn của từng phép đo; trong đó phân tích nhật ký hội thoại xác định thời gian mô hình ngôn ngữ sinh token đầu là thành phần lớn nhất của độ trễ phản hồi.</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AWS, ISO/IEC 25010, gọi công cụ, STT, LLM, TTS, P95.</w:t>
      </w:r>
    </w:p>
    <w:p>
      <w:r>
        <w:br w:type="page"/>
      </w:r>
    </w:p>
    <w:p>
      <w:bookmarkStart w:id="3"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3"/>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4"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4"/>
    </w:p>
    <w:p>
      <w:pPr>
        <w:spacing w:after="120" w:before="0" w:line="360" w:lineRule="auto"/>
        <w:ind w:firstLine="0"/>
        <w:jc w:val="both"/>
      </w:pPr>
      <w:r>
        <w:rPr>
          <w:rFonts w:ascii="Times New Roman" w:hAnsi="Times New Roman" w:eastAsia="Times New Roman"/>
          <w:b w:val="0"/>
          <w:i w:val="0"/>
          <w:color w:val="000000"/>
          <w:sz w:val="26"/>
        </w:rPr>
        <w:t>Hình 4.1. Kiến trúc hệ thống trên nền tảng AWS theo mô hình microservices</w:t>
      </w:r>
    </w:p>
    <w:p>
      <w:pPr>
        <w:spacing w:after="120" w:before="0" w:line="360" w:lineRule="auto"/>
        <w:ind w:firstLine="0"/>
        <w:jc w:val="both"/>
      </w:pPr>
      <w:r>
        <w:rPr>
          <w:rFonts w:ascii="Times New Roman" w:hAnsi="Times New Roman" w:eastAsia="Times New Roman"/>
          <w:b w:val="0"/>
          <w:i w:val="0"/>
          <w:color w:val="000000"/>
          <w:sz w:val="26"/>
        </w:rPr>
        <w:t>Hình 4.2.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4.3.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4.4.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4.5.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4.6.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4.7.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4.8.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4.9.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với biểu tượng trợ lý ở trạng thái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và thông tin chuyến bằng giọng nói</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 Driver.</w:t>
      </w:r>
    </w:p>
    <w:p>
      <w:pPr>
        <w:spacing w:after="120" w:before="0" w:line="360" w:lineRule="auto"/>
        <w:ind w:firstLine="0"/>
        <w:jc w:val="both"/>
      </w:pPr>
      <w:r>
        <w:rPr>
          <w:rFonts w:ascii="Times New Roman" w:hAnsi="Times New Roman" w:eastAsia="Times New Roman"/>
          <w:b w:val="0"/>
          <w:i w:val="0"/>
          <w:color w:val="000000"/>
          <w:sz w:val="26"/>
        </w:rPr>
        <w:t>Hình C.2. Biểu tượng trợ lý giọng nói ở trạng thái đang kết nối.</w:t>
      </w:r>
    </w:p>
    <w:p>
      <w:pPr>
        <w:spacing w:after="120" w:before="0" w:line="360" w:lineRule="auto"/>
        <w:ind w:firstLine="0"/>
        <w:jc w:val="both"/>
      </w:pPr>
      <w:r>
        <w:rPr>
          <w:rFonts w:ascii="Times New Roman" w:hAnsi="Times New Roman" w:eastAsia="Times New Roman"/>
          <w:b w:val="0"/>
          <w:i w:val="0"/>
          <w:color w:val="000000"/>
          <w:sz w:val="26"/>
        </w:rPr>
        <w:t>Hình C.3. Cài đặt trợ lý: chọn ngôn ngữ và chế độ gọi khách mặc định (tác nhân gọi thay hoặc tài xế nói trực tiếp).</w:t>
      </w:r>
    </w:p>
    <w:p>
      <w:pPr>
        <w:spacing w:after="120" w:before="0" w:line="360" w:lineRule="auto"/>
        <w:ind w:firstLine="0"/>
        <w:jc w:val="both"/>
      </w:pPr>
      <w:r>
        <w:rPr>
          <w:rFonts w:ascii="Times New Roman" w:hAnsi="Times New Roman" w:eastAsia="Times New Roman"/>
          <w:b w:val="0"/>
          <w:i w:val="0"/>
          <w:color w:val="000000"/>
          <w:sz w:val="26"/>
        </w:rPr>
        <w:t>Hình C.4. Cài đặt trợ lý: kích hoạt rảnh tay bằng từ khóa đánh thức và các tùy chọn nhắc khách.</w:t>
      </w:r>
    </w:p>
    <w:p>
      <w:pPr>
        <w:spacing w:after="120" w:before="0" w:line="360" w:lineRule="auto"/>
        <w:ind w:firstLine="0"/>
        <w:jc w:val="both"/>
      </w:pPr>
      <w:r>
        <w:rPr>
          <w:rFonts w:ascii="Times New Roman" w:hAnsi="Times New Roman" w:eastAsia="Times New Roman"/>
          <w:b w:val="0"/>
          <w:i w:val="0"/>
          <w:color w:val="000000"/>
          <w:sz w:val="26"/>
        </w:rPr>
        <w:t>Hình C.5.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C.6. Gợi ý lộ trình tối ưu cho nhiều điểm đón/trả trong danh sách chuyến đang chạy.</w:t>
      </w:r>
    </w:p>
    <w:p>
      <w:pPr>
        <w:spacing w:after="120" w:before="0" w:line="360" w:lineRule="auto"/>
        <w:ind w:firstLine="0"/>
        <w:jc w:val="both"/>
      </w:pPr>
      <w:r>
        <w:rPr>
          <w:rFonts w:ascii="Times New Roman" w:hAnsi="Times New Roman" w:eastAsia="Times New Roman"/>
          <w:b w:val="0"/>
          <w:i w:val="0"/>
          <w:color w:val="000000"/>
          <w:sz w:val="26"/>
        </w:rPr>
        <w:t>Hình C.7. Tài xế tự tạo chuyến cho khách vãng lai, kèm các yêu cầu đặc biệt (hàng cồng kềnh, đi cùng trẻ em).</w:t>
      </w:r>
    </w:p>
    <w:p>
      <w:pPr>
        <w:spacing w:after="120" w:before="0" w:line="360" w:lineRule="auto"/>
        <w:ind w:firstLine="0"/>
        <w:jc w:val="both"/>
      </w:pPr>
      <w:r>
        <w:rPr>
          <w:rFonts w:ascii="Times New Roman" w:hAnsi="Times New Roman" w:eastAsia="Times New Roman"/>
          <w:b w:val="0"/>
          <w:i w:val="0"/>
          <w:color w:val="000000"/>
          <w:sz w:val="26"/>
        </w:rPr>
        <w:t>Hình C.8. Màn hình hồ sơ tài xế và các chỉ số vận hành (đánh giá, số chuyến, tỷ lệ nhận/hoàn thành).</w:t>
      </w:r>
    </w:p>
    <w:p>
      <w:pPr>
        <w:spacing w:after="120" w:before="0" w:line="360" w:lineRule="auto"/>
        <w:ind w:firstLine="0"/>
        <w:jc w:val="both"/>
      </w:pPr>
      <w:r>
        <w:rPr>
          <w:rFonts w:ascii="Times New Roman" w:hAnsi="Times New Roman" w:eastAsia="Times New Roman"/>
          <w:b w:val="0"/>
          <w:i w:val="0"/>
          <w:color w:val="000000"/>
          <w:sz w:val="26"/>
        </w:rPr>
        <w:t>Hình C.9. Màn hình thu nhập theo kỳ và chi tiết cước từng chuyến đã hoàn thành.</w:t>
      </w:r>
    </w:p>
    <w:p>
      <w:pPr>
        <w:spacing w:after="120" w:before="0" w:line="360" w:lineRule="auto"/>
        <w:ind w:firstLine="0"/>
        <w:jc w:val="both"/>
      </w:pPr>
      <w:r>
        <w:rPr>
          <w:rFonts w:ascii="Times New Roman" w:hAnsi="Times New Roman" w:eastAsia="Times New Roman"/>
          <w:b w:val="0"/>
          <w:i w:val="0"/>
          <w:color w:val="000000"/>
          <w:sz w:val="26"/>
        </w:rPr>
        <w:t>Hình C.10.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C.11. Trang quản trị: tạo chuyến thử nghiệm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C.12.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C.13.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C.14.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C.15.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C.16.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bản ghi và tóm tắt cuộc gọi, lấy qua Dịch vụ Giám sát vận hành.</w:t>
      </w:r>
    </w:p>
    <w:p>
      <w:r>
        <w:br w:type="page"/>
      </w:r>
    </w:p>
    <w:p>
      <w:bookmarkStart w:id="5"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5"/>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2.1. Các tính chất cơ bản của kiến trúc microservices</w:t>
      </w:r>
    </w:p>
    <w:p>
      <w:pPr>
        <w:spacing w:after="120" w:before="0" w:line="360" w:lineRule="auto"/>
        <w:ind w:firstLine="0"/>
        <w:jc w:val="both"/>
      </w:pPr>
      <w:r>
        <w:rPr>
          <w:rFonts w:ascii="Times New Roman" w:hAnsi="Times New Roman" w:eastAsia="Times New Roman"/>
          <w:b w:val="0"/>
          <w:i w:val="0"/>
          <w:color w:val="000000"/>
          <w:sz w:val="26"/>
        </w:rPr>
        <w:t>Bảng 2.2.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Thành phần hệ thống, trách nhiệm và ranh giới</w:t>
      </w:r>
    </w:p>
    <w:p>
      <w:pPr>
        <w:spacing w:after="120" w:before="0" w:line="360" w:lineRule="auto"/>
        <w:ind w:firstLine="0"/>
        <w:jc w:val="both"/>
      </w:pPr>
      <w:r>
        <w:rPr>
          <w:rFonts w:ascii="Times New Roman" w:hAnsi="Times New Roman" w:eastAsia="Times New Roman"/>
          <w:b w:val="0"/>
          <w:i w:val="0"/>
          <w:color w:val="000000"/>
          <w:sz w:val="26"/>
        </w:rPr>
        <w:t>Bảng 3.2.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3.3. Yêu cầu chức năng nhóm chuyến đi (FR-T)</w:t>
      </w:r>
    </w:p>
    <w:p>
      <w:pPr>
        <w:spacing w:after="120" w:before="0" w:line="360" w:lineRule="auto"/>
        <w:ind w:firstLine="0"/>
        <w:jc w:val="both"/>
      </w:pPr>
      <w:r>
        <w:rPr>
          <w:rFonts w:ascii="Times New Roman" w:hAnsi="Times New Roman" w:eastAsia="Times New Roman"/>
          <w:b w:val="0"/>
          <w:i w:val="0"/>
          <w:color w:val="000000"/>
          <w:sz w:val="26"/>
        </w:rPr>
        <w:t>Bảng 3.4. Yêu cầu chức năng nhóm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nhóm chờ đón, sự cố, thu nhập, hỗ trợ và ngôn ngữ</w:t>
      </w:r>
    </w:p>
    <w:p>
      <w:pPr>
        <w:spacing w:after="120" w:before="0" w:line="360" w:lineRule="auto"/>
        <w:ind w:firstLine="0"/>
        <w:jc w:val="both"/>
      </w:pPr>
      <w:r>
        <w:rPr>
          <w:rFonts w:ascii="Times New Roman" w:hAnsi="Times New Roman" w:eastAsia="Times New Roman"/>
          <w:b w:val="0"/>
          <w:i w:val="0"/>
          <w:color w:val="000000"/>
          <w:sz w:val="26"/>
        </w:rPr>
        <w:t>Bảng 3.6. Yêu cầu chức năng nhóm kích hoạt (FR-A)</w:t>
      </w:r>
    </w:p>
    <w:p>
      <w:pPr>
        <w:spacing w:after="120" w:before="0" w:line="360" w:lineRule="auto"/>
        <w:ind w:firstLine="0"/>
        <w:jc w:val="both"/>
      </w:pPr>
      <w:r>
        <w:rPr>
          <w:rFonts w:ascii="Times New Roman" w:hAnsi="Times New Roman" w:eastAsia="Times New Roman"/>
          <w:b w:val="0"/>
          <w:i w:val="0"/>
          <w:color w:val="000000"/>
          <w:sz w:val="26"/>
        </w:rPr>
        <w:t>Bảng 3.7. Yêu cầu chức năng nhóm giám sát vận hành (FR-O)</w:t>
      </w:r>
    </w:p>
    <w:p>
      <w:pPr>
        <w:spacing w:after="120" w:before="0" w:line="360" w:lineRule="auto"/>
        <w:ind w:firstLine="0"/>
        <w:jc w:val="both"/>
      </w:pPr>
      <w:r>
        <w:rPr>
          <w:rFonts w:ascii="Times New Roman" w:hAnsi="Times New Roman" w:eastAsia="Times New Roman"/>
          <w:b w:val="0"/>
          <w:i w:val="0"/>
          <w:color w:val="000000"/>
          <w:sz w:val="26"/>
        </w:rPr>
        <w:t>Bảng 3.8. Trường hợp sử dụng cốt lõi</w:t>
      </w:r>
    </w:p>
    <w:p>
      <w:pPr>
        <w:spacing w:after="120" w:before="0" w:line="360" w:lineRule="auto"/>
        <w:ind w:firstLine="0"/>
        <w:jc w:val="both"/>
      </w:pPr>
      <w:r>
        <w:rPr>
          <w:rFonts w:ascii="Times New Roman" w:hAnsi="Times New Roman" w:eastAsia="Times New Roman"/>
          <w:b w:val="0"/>
          <w:i w:val="0"/>
          <w:color w:val="000000"/>
          <w:sz w:val="26"/>
        </w:rPr>
        <w:t>Bảng 3.9.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3.10. Ràng buộc kiến trúc</w:t>
      </w:r>
    </w:p>
    <w:p>
      <w:pPr>
        <w:spacing w:after="120" w:before="0" w:line="360" w:lineRule="auto"/>
        <w:ind w:firstLine="0"/>
        <w:jc w:val="both"/>
      </w:pPr>
      <w:r>
        <w:rPr>
          <w:rFonts w:ascii="Times New Roman" w:hAnsi="Times New Roman" w:eastAsia="Times New Roman"/>
          <w:b w:val="0"/>
          <w:i w:val="0"/>
          <w:color w:val="000000"/>
          <w:sz w:val="26"/>
        </w:rPr>
        <w:t>Bảng 3.11. Đối chiếu yêu cầu phi chức năng với tính chất của kiến trúc microservices</w:t>
      </w:r>
    </w:p>
    <w:p>
      <w:pPr>
        <w:spacing w:after="120" w:before="0" w:line="360" w:lineRule="auto"/>
        <w:ind w:firstLine="0"/>
        <w:jc w:val="both"/>
      </w:pPr>
      <w:r>
        <w:rPr>
          <w:rFonts w:ascii="Times New Roman" w:hAnsi="Times New Roman" w:eastAsia="Times New Roman"/>
          <w:b w:val="0"/>
          <w:i w:val="0"/>
          <w:color w:val="000000"/>
          <w:sz w:val="26"/>
        </w:rPr>
        <w:t>Bảng 3.12. Tiêu chí chấp nhận theo yêu cầu</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chính trên Hình 4.1</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AWS sang môi trường mô phỏng</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(luồng xử lý đơn và câu đệm)</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trên môi trường mô phỏng</w:t>
      </w:r>
    </w:p>
    <w:p>
      <w:pPr>
        <w:spacing w:after="120" w:before="0" w:line="360" w:lineRule="auto"/>
        <w:ind w:firstLine="0"/>
        <w:jc w:val="both"/>
      </w:pPr>
      <w:r>
        <w:rPr>
          <w:rFonts w:ascii="Times New Roman" w:hAnsi="Times New Roman" w:eastAsia="Times New Roman"/>
          <w:b w:val="0"/>
          <w:i w:val="0"/>
          <w:color w:val="000000"/>
          <w:sz w:val="26"/>
        </w:rPr>
        <w:t>Bảng 6.12. Kết quả tiêm lỗi trên môi trường mô phỏng</w:t>
      </w:r>
    </w:p>
    <w:p>
      <w:pPr>
        <w:spacing w:after="120" w:before="0" w:line="360" w:lineRule="auto"/>
        <w:ind w:firstLine="0"/>
        <w:jc w:val="both"/>
      </w:pPr>
      <w:r>
        <w:rPr>
          <w:rFonts w:ascii="Times New Roman" w:hAnsi="Times New Roman" w:eastAsia="Times New Roman"/>
          <w:b w:val="0"/>
          <w:i w:val="0"/>
          <w:color w:val="000000"/>
          <w:sz w:val="26"/>
        </w:rPr>
        <w:t>Bảng 6.13.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6.14.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6.15. Tổng hợp kết quả theo yêu cầu</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r>
        <w:br w:type="page"/>
      </w:r>
    </w:p>
    <w:p>
      <w:bookmarkStart w:id="6"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6"/>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16"/>
        <w:gridCol w:w="4282"/>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7"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7"/>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8"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8"/>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chịu lỗi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và yêu cầu phi chức năng cho trợ lý giọng nói dành cho tài xế; phân loại yêu cầu phi chức năng theo mô hình chất lượng chuẩn và đặc tả dưới dạng đo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chịu lỗi.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chịu lỗi: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chịu lỗi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và P95 có duy trì được ở mức không quá 2 giây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12"/>
        <w:gridCol w:w="1186"/>
        <w:gridCol w:w="4401"/>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4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4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có điều kiện chấp nhận; NFR phân loại theo ISO/IEC 25010, đặc tả đo được</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4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kiến trúc trên AWS; sequence cho từng dịch vụ</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4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4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chịu lỗi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đối tượng sử dụng chính là tài xế,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luận văn bao gồm: tương tác bằng giọng nói tiếng Việt và tiếng Anh; quản lý chuyến đi bằng giọng nói; liên lạc và xác nhận với khách hàng; nhắc lịch và trả lời câu hỏi thường gặp có truy xuất tri thức; kích hoạt trợ lý bằng từ khóa đánh thức (wake-word) trên ứng dụng tài xế. Hệ thống hoạt động trên kênh WebRTC trong ứng dụng và kênh SIP khi cần kết nối mạng điện thoại công cộng (Public Switched Telephone Network – PSTN). Các dịch vụ cấu thành hệ thống được đặt tên theo chức năng (Dịch vụ Định danh, Dịch vụ Chuyến đi và Điều phối, Dịch vụ Kênh liên lạc, Dịch vụ Nhật ký cuộc gọi, Dịch vụ Giám sát vận hành và Tác nhân hội thoại giọng nói);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(đã có ứng dụng bản đồ chuyên dụng),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chịu lỗi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after="120" w:before="0" w:line="360" w:lineRule="auto"/>
        <w:ind w:firstLine="567"/>
        <w:jc w:val="both"/>
      </w:pPr>
      <w:r>
        <w:rPr>
          <w:rFonts w:ascii="Times New Roman" w:hAnsi="Times New Roman" w:eastAsia="Times New Roman"/>
          <w:b w:val="0"/>
          <w:i w:val="0"/>
          <w:color w:val="000000"/>
          <w:sz w:val="26"/>
        </w:rPr>
        <w:t>Luận văn theo tiếp cận nghiên cứu khoa học thiết kế (design science research) với chu trình thiết kế – xây dựng – đánh giá. Bốn mục tiêu ở mục 1.3 tương ứng bốn giai đoạn: phân tích yêu cầu (Chương 3), thiết kế kiến trúc (Chương 4), triển khai nguyên mẫu (Chương 5) và đánh giá thực nghiệm (Chương 6). Mỗi yêu cầu được gán mã định danh và được đối chiếu qua quyết định thiết kế, thành phần hiện thực và kịch bản đánh giá (ma trận đối chiếu yêu cầu ở Phụ lục E).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cố ý gây lỗi (fault injection) trên môi trường mô phỏng để kiểm chứng khả năng mở rộng và khả năng chịu lỗi.</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hướng tới ba đóng góp chính: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Xác định khoảng trống nghiên cứu:</w:t>
      </w:r>
      <w:r>
        <w:rPr>
          <w:rFonts w:ascii="Times New Roman" w:hAnsi="Times New Roman" w:eastAsia="Times New Roman"/>
          <w:b w:val="0"/>
          <w:color w:val="000000"/>
          <w:sz w:val="26"/>
        </w:rPr>
        <w:t xml:space="preserve"> thiếu một trợ lý giọng nói vừa hội thoại thời gian thực, vừa thực thi nghiệp vụ vận tải qua gọi công cụ, vừa được đánh giá theo tiêu chí của tài xế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Đề xuất và hiện thực một kiến trúc microservices có lập luận từ yêu cầu phi chức năng:</w:t>
      </w:r>
      <w:r>
        <w:rPr>
          <w:rFonts w:ascii="Times New Roman" w:hAnsi="Times New Roman" w:eastAsia="Times New Roman"/>
          <w:b w:val="0"/>
          <w:color w:val="000000"/>
          <w:sz w:val="26"/>
        </w:rPr>
        <w:t xml:space="preserve"> tác nhân hội thoại tách khỏi các dịch vụ nghiệp vụ, chuỗi xử lý STT – LLM kèm gọi công cụ – TTS có câu đệm và cơ chế dự phòng nhà cung cấp, phân loại phiên hội thoại theo ngữ cảnh, triển khai trên AWS (Chương 3–5).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Xây dựng bộ kịch bản và khung đánh giá theo từng yêu cầu</w:t>
      </w:r>
      <w:r>
        <w:rPr>
          <w:rFonts w:ascii="Times New Roman" w:hAnsi="Times New Roman" w:eastAsia="Times New Roman"/>
          <w:b w:val="0"/>
          <w:color w:val="000000"/>
          <w:sz w:val="26"/>
        </w:rPr>
        <w:t xml:space="preserve"> (độ trễ, tỷ lệ lỗi từ, gọi công cụ, hoàn thành nghiệp vụ, khả năng mở rộng, khả năng chịu lỗi) cùng ma trận đối chiếu từ yêu cầu đến kết quả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mô hình chất lượng phần mềm,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và phi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9"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9"/>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mô hình chất lượng sản phẩm, kiến trúc microservices và các mô hình điện toán đám mây. Cuối chương đối chiếu với các nghiên cứu liên quan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w:t>
      </w:r>
      <w:r>
        <w:rPr>
          <w:rFonts w:ascii="Times New Roman" w:hAnsi="Times New Roman" w:eastAsia="Times New Roman"/>
          <w:b w:val="0"/>
          <w:color w:val="000000"/>
          <w:sz w:val="26"/>
        </w:rPr>
        <w:t xml:space="preserve"> (Speech-to-Text – STT):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w:t>
      </w:r>
      <w:r>
        <w:rPr>
          <w:rFonts w:ascii="Times New Roman" w:hAnsi="Times New Roman" w:eastAsia="Times New Roman"/>
          <w:b w:val="0"/>
          <w:color w:val="000000"/>
          <w:sz w:val="26"/>
        </w:rPr>
        <w:t xml:space="preserve"> bằng mô hình ngôn ngữ lớn (Large Language Model – LLM):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w:t>
      </w:r>
      <w:r>
        <w:rPr>
          <w:rFonts w:ascii="Times New Roman" w:hAnsi="Times New Roman" w:eastAsia="Times New Roman"/>
          <w:b w:val="0"/>
          <w:color w:val="000000"/>
          <w:sz w:val="26"/>
        </w:rPr>
        <w:t xml:space="preserve"> (Text-to-Speech – TTS):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giao diện lập trình ứng dụng (Application Programming Interface –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(Public Switched Telephone Network –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phi chức năng và mô hình chất lượng phần mềm</w:t>
      </w:r>
    </w:p>
    <w:p>
      <w:pPr>
        <w:spacing w:line="360" w:lineRule="auto" w:after="120"/>
        <w:ind w:firstLine="567"/>
        <w:jc w:val="both"/>
      </w:pPr>
      <w:r>
        <w:rPr>
          <w:rFonts w:ascii="Times New Roman" w:hAnsi="Times New Roman" w:eastAsia="Times New Roman"/>
          <w:color w:val="000000"/>
          <w:sz w:val="26"/>
        </w:rPr>
        <w:t xml:space="preserve">Yêu cầu chức năng (Functional Requirement – FR) mô tả hệ thống phải làm gì; yêu cầu phi chức năng (Non-Functional Requirement – NFR)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năng (performance efficiency), tính tương thích (compatibility), khả năng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Luận văn dùng thuật ngữ khả năng phục hồi (resilience) theo nghĩa tổng hợp ba đặc tính con của độ tin cậy trong ISO/IEC 25010: tính sẵn sàng (availability), khả năng chịu lỗi (fault tolerance) và khả năng khôi phục (recoverability). Thuật ngữ khả năng sử dụng (usability) được dùng tương đương với "interaction capability".</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kích thích, môi trường, thành phần chịu tác động, phản ứng và thước đo phản ứng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và các NFR đó là động lực kiến trúc (architectural drivers) cho quyết định thiết kế ở Chương 4.</w:t>
      </w:r>
    </w:p>
    <w:p>
      <w:pPr>
        <w:pStyle w:val="Heading2"/>
        <w:spacing w:after="160" w:before="240" w:line="240" w:lineRule="auto"/>
        <w:ind w:firstLine="0"/>
        <w:jc w:val="both"/>
      </w:pPr>
      <w:r>
        <w:rPr>
          <w:rFonts w:ascii="Times New Roman" w:hAnsi="Times New Roman" w:eastAsia="Times New Roman"/>
          <w:b/>
          <w:i w:val="0"/>
          <w:color w:val="000000"/>
          <w:sz w:val="26"/>
        </w:rPr>
        <w:t>2.5.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(Microservices Architecture – MSA)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Bảng 2.1 tóm tắt các tính chất cơ bản của kiến trúc microservices được dùng làm căn cứ đối chiếu với NFR ở Chương 3.</w:t>
      </w:r>
    </w:p>
    <w:p>
      <w:pPr>
        <w:keepNext/>
        <w:spacing w:after="120" w:before="0" w:line="240" w:lineRule="auto"/>
        <w:ind w:firstLine="0"/>
        <w:jc w:val="center"/>
      </w:pPr>
      <w:r>
        <w:rPr>
          <w:rFonts w:ascii="Times New Roman" w:hAnsi="Times New Roman" w:eastAsia="Times New Roman"/>
          <w:b/>
          <w:i w:val="0"/>
          <w:color w:val="000000"/>
          <w:sz w:val="24"/>
        </w:rPr>
        <w:t>Bảng 2.1. Các tính chất cơ bản của kiến trúc microservices</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83"/>
        <w:gridCol w:w="3861"/>
        <w:gridCol w:w="1743"/>
      </w:tblGrid>
      <w:tr>
        <w:trPr>
          <w:cantSplit/>
          <w:tblHeader w:val="true"/>
        </w:trPr>
        <w:tc>
          <w:tcPr>
            <w:tcW w:type="dxa" w:w="31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3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7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được hỗ trợ</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ranh giới rõ</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độc lập (independent deployability)</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tính sẵn sàng</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cơ sở dữ liệu riêng; dịch vụ khác truy cập qua API</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khả năng chịu lỗi</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dùng thời gian chờ, suy giảm có kiểm soát, dự phòng</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(independent scalability)</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được mở rộng theo nhu cầu tải của riêng nó</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hiệu năng</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 biệt công nghệ (technology heterogeneity)</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chọn ngôn ngữ và nền tảng phù hợp với tác vụ</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r>
      <w:tr>
        <w:trPr>
          <w:cantSplit/>
        </w:trPr>
        <w:tc>
          <w:tcPr>
            <w:tcW w:type="dxa" w:w="31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3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17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tổng hợp từ Lewis và Fowler (2014), Newman (2021), Richardson (2018).</w:t>
      </w:r>
    </w:p>
    <w:p>
      <w:pPr>
        <w:spacing w:line="360" w:lineRule="auto" w:after="120"/>
        <w:ind w:firstLine="567"/>
        <w:jc w:val="both"/>
      </w:pPr>
      <w:r>
        <w:rPr>
          <w:rFonts w:ascii="Times New Roman" w:hAnsi="Times New Roman" w:eastAsia="Times New Roman"/>
          <w:color w:val="000000"/>
          <w:sz w:val="26"/>
        </w:rPr>
        <w:t xml:space="preserve">Newman nhấn mạnh rằng ranh giới dịch vụ nên được vẽ theo miền nghiệp vụ và mỗi dịch vụ ẩn giấu dữ liệu của mình để thay đổi được độc lập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xml:space="preserve">. Richardson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 </w:t>
      </w:r>
      <w:hyperlink w:anchor="ref_richardson2018" w:history="1">
        <w:r>
          <w:rPr>
            <w:color w:val="0563C1"/>
            <w:u w:val="single"/>
            <w:rFonts w:ascii="Times New Roman" w:hAnsi="Times New Roman" w:eastAsia="Times New Roman"/>
            <w:sz w:val="26"/>
          </w:rPr>
          <w:t xml:space="preserve">(Richardson, 2018)</w:t>
        </w:r>
      </w:hyperlink>
      <w:r>
        <w:rPr>
          <w:rFonts w:ascii="Times New Roman" w:hAnsi="Times New Roman" w:eastAsia="Times New Roman"/>
          <w:color w:val="000000"/>
          <w:sz w:val="26"/>
        </w:rPr>
        <w:t>.</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2.6.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2.7.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Thao tác điện thoại khi lái gắn với nguy cơ xao nhãng. Như đã dẫn ở mục 1.1, các yếu tố liên quan đến người lái hiện diện trong phần lớn vụ va chạm, và xao nhãng do thiết bị cầm tay làm tăng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2.8. Nghiên cứu liên quan về AI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AI cho dịch vụ gọi xe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quan trọng cho vận hành mạng lưới nhưng không giải quyết nhu cầu của tài xế đang lái cần tra lịch, gọi khách và cập nhật trạng thái mà không nhìn màn hình.</w:t>
      </w:r>
    </w:p>
    <w:p>
      <w:pPr>
        <w:spacing w:line="360" w:lineRule="auto" w:after="120"/>
        <w:ind w:firstLine="567"/>
        <w:jc w:val="both"/>
      </w:pPr>
      <w:r>
        <w:rPr>
          <w:rFonts w:ascii="Times New Roman" w:hAnsi="Times New Roman" w:eastAsia="Times New Roman"/>
          <w:color w:val="000000"/>
          <w:sz w:val="26"/>
        </w:rPr>
        <w:t xml:space="preserve">Ở phía trải nghiệm người dùng, có công trình sử dụng chatbot giọng nói để tăng cảm giác an toàn cho hành khách trong chuyến đi </w:t>
      </w:r>
      <w:hyperlink w:anchor="ref_alvarado2024" w:history="1">
        <w:r>
          <w:rPr>
            <w:color w:val="0563C1"/>
            <w:u w:val="single"/>
            <w:rFonts w:ascii="Times New Roman" w:hAnsi="Times New Roman" w:eastAsia="Times New Roman"/>
            <w:sz w:val="26"/>
          </w:rPr>
          <w:t xml:space="preserve">(Alvarado Contreras et al., 2024)</w:t>
        </w:r>
      </w:hyperlink>
      <w:r>
        <w:rPr>
          <w:rFonts w:ascii="Times New Roman" w:hAnsi="Times New Roman" w:eastAsia="Times New Roman"/>
          <w:color w:val="000000"/>
          <w:sz w:val="26"/>
        </w:rPr>
        <w:t>. Đối tượng và bài toán của công trình này khác với tập nghiệp vụ của tài xế.</w:t>
      </w:r>
    </w:p>
    <w:p>
      <w:pPr>
        <w:pStyle w:val="Heading2"/>
        <w:spacing w:after="160" w:before="240" w:line="240" w:lineRule="auto"/>
        <w:ind w:firstLine="0"/>
        <w:jc w:val="both"/>
      </w:pPr>
      <w:r>
        <w:rPr>
          <w:rFonts w:ascii="Times New Roman" w:hAnsi="Times New Roman" w:eastAsia="Times New Roman"/>
          <w:b/>
          <w:i w:val="0"/>
          <w:color w:val="000000"/>
          <w:sz w:val="26"/>
        </w:rPr>
        <w:t>2.9.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2.2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2.2.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các nội dung trên,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chuỗi xử lý STT – LLM – TTS, cơ chế gọi công cụ, truyền thông thời gian thực, mô hình chất lượng ISO/IEC 25010 cùng cách đặc tả kịch bản thuộc tính chất lượng, các tính chất của kiến trúc microservices, các mô hình điện toán đám mây, cơ sở chọn ngưỡng độ trễ và bộ chỉ số đánh giá. Chương 3 vận dụng các khái niệm này để phân tích yêu cầu của hệ thống.</w:t>
      </w:r>
    </w:p>
    <w:p>
      <w:r>
        <w:br w:type="page"/>
      </w:r>
    </w:p>
    <w:p>
      <w:bookmarkStart w:id="10"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0"/>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(yêu cầu chức năng) và phải làm tốt đến mức nào (yêu cầu phi chức năng). Yêu cầu chức năng được gắn với thành phần phụ trách và điều kiện chấp nhận quan sát được; yêu cầu phi chức năng được phân loại theo mô hình chất lượng ISO/IEC 25010 và đặc tả dưới dạng kịch bản thuộc tính chất lượng (mục 2.4). Cuối chương, các yêu cầu phi chức năng được đối chiếu với tính chất của kiến trúc microservices, làm căn cứ cho quyết định kiến trúc ở Chương 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từ ba nguồn: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Nghiệp vụ hằng ngày của tài xế:</w:t>
      </w:r>
      <w:r>
        <w:rPr>
          <w:rFonts w:ascii="Times New Roman" w:hAnsi="Times New Roman" w:eastAsia="Times New Roman"/>
          <w:b w:val="0"/>
          <w:color w:val="000000"/>
          <w:sz w:val="26"/>
        </w:rPr>
        <w:t xml:space="preserve"> các thao tác tài xế thường làm trên ứng dụng khi đang hoặc chuẩn bị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liệu nội bộ của dự án:</w:t>
      </w:r>
      <w:r>
        <w:rPr>
          <w:rFonts w:ascii="Times New Roman" w:hAnsi="Times New Roman" w:eastAsia="Times New Roman"/>
          <w:b w:val="0"/>
          <w:color w:val="000000"/>
          <w:sz w:val="26"/>
        </w:rPr>
        <w:t xml:space="preserve"> tài liệu yêu cầu và bộ kịch bản hội thoại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Ràng buộc an toàn khi lái:</w:t>
      </w:r>
      <w:r>
        <w:rPr>
          <w:rFonts w:ascii="Times New Roman" w:hAnsi="Times New Roman" w:eastAsia="Times New Roman"/>
          <w:b w:val="0"/>
          <w:color w:val="000000"/>
          <w:sz w:val="26"/>
        </w:rPr>
        <w:t xml:space="preserve"> các tiêu chí đã phân tích ở mục 2.7.</w:t>
      </w:r>
    </w:p>
    <w:p>
      <w:pPr>
        <w:spacing w:after="120" w:before="0" w:line="360" w:lineRule="auto"/>
        <w:ind w:firstLine="567"/>
        <w:jc w:val="both"/>
      </w:pPr>
      <w:r>
        <w:rPr>
          <w:rFonts w:ascii="Times New Roman" w:hAnsi="Times New Roman" w:eastAsia="Times New Roman"/>
          <w:b w:val="0"/>
          <w:i w:val="0"/>
          <w:color w:val="000000"/>
          <w:sz w:val="26"/>
        </w:rPr>
        <w:t>Các nghiệp vụ thường xuyên của tài xế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Xem các chuyến trong ngày và tình trạng chuyến đang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Nhận hoặc từ chối chuyến mới, đặc biệt khi hệ thống gọi điện mời nhận chuyến.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Cập nhật tiến độ chuyến: đã đến điểm đón, đã đón khách, hoàn thành.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Gọi hoặc nhắn tin cho khách khi đến điểm đón, khi khách đến muộn hoặc khi cần xác nhận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Hỏi cách sử dụng ứng dụng mà không phải dừng xe đọc hướng dẫn.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Theo dõi thu nhập trong ngày hoặc trong một khoảng thời gian.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Mở trợ lý bằng từ khóa đánh thức khi không thể dùng tay, và kết thúc phiên khi xong việc.</w:t>
      </w:r>
    </w:p>
    <w:p>
      <w:pPr>
        <w:spacing w:after="120" w:before="0" w:line="360" w:lineRule="auto"/>
        <w:ind w:firstLine="567"/>
        <w:jc w:val="both"/>
      </w:pPr>
      <w:r>
        <w:rPr>
          <w:rFonts w:ascii="Times New Roman" w:hAnsi="Times New Roman" w:eastAsia="Times New Roman"/>
          <w:b w:val="0"/>
          <w:i w:val="0"/>
          <w:color w:val="000000"/>
          <w:sz w:val="26"/>
        </w:rPr>
        <w:t>Mỗi nghiệp vụ được chuyển thành một hoặc nhiều yêu cầu chức năng có mã định danh. Mã định danh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 và kênh tương tác</w:t>
      </w:r>
    </w:p>
    <w:p>
      <w:pPr>
        <w:pStyle w:val="Heading3"/>
        <w:spacing w:after="160" w:before="240" w:line="240" w:lineRule="auto"/>
        <w:ind w:firstLine="0"/>
        <w:jc w:val="both"/>
      </w:pPr>
      <w:r>
        <w:rPr>
          <w:rFonts w:ascii="Times New Roman" w:hAnsi="Times New Roman" w:eastAsia="Times New Roman"/>
          <w:b/>
          <w:i w:val="0"/>
          <w:color w:val="000000"/>
          <w:sz w:val="26"/>
        </w:rPr>
        <w:t>3.2.1. Đối tượng sử dụng</w:t>
      </w:r>
    </w:p>
    <w:p>
      <w:pPr>
        <w:spacing w:after="120" w:before="0" w:line="360" w:lineRule="auto"/>
        <w:ind w:firstLine="567"/>
        <w:jc w:val="both"/>
      </w:pPr>
      <w:r>
        <w:rPr>
          <w:rFonts w:ascii="Times New Roman" w:hAnsi="Times New Roman" w:eastAsia="Times New Roman"/>
          <w:b w:val="0"/>
          <w:i w:val="0"/>
          <w:color w:val="000000"/>
          <w:sz w:val="26"/>
        </w:rPr>
        <w:t>Tài xế là người dùng chính và là đối tượng đánh giá trọng tâm. Tài xế tương tác với trợ lý qua hai kênh: kênh trong ứng dụng (WebRTC) khi chủ động mở trợ lý, và kênh điện thoại (SIP) khi hệ thống gọi điện mời nhận chuyến. Hai kênh khác nhau về trải nghiệm nhưng dùng chung logic nghiệp vụ.</w:t>
      </w:r>
    </w:p>
    <w:p>
      <w:pPr>
        <w:spacing w:after="120" w:before="0" w:line="360" w:lineRule="auto"/>
        <w:ind w:firstLine="567"/>
        <w:jc w:val="both"/>
      </w:pPr>
      <w:r>
        <w:rPr>
          <w:rFonts w:ascii="Times New Roman" w:hAnsi="Times New Roman" w:eastAsia="Times New Roman"/>
          <w:b w:val="0"/>
          <w:i w:val="0"/>
          <w:color w:val="000000"/>
          <w:sz w:val="26"/>
        </w:rPr>
        <w:t>Hành vi của tài xế khi đang lái là cơ sở để xác định yêu cầu: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Mắt nhìn đường, tay giữ vô-lăng, nên không thể đọc hay chạm màn hình.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Không muốn nghe danh sách dài hoặc địa chỉ đọc từng ký tự.</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Câu hỏi thường ngắn và gắn với việc đang làm: "còn mấy chuyến", "đến nơi rồi", "gọi khách", "thu nhập hôm nay".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Thao tác có rủi ro (hủy chuyến, báo khách không có mặt) cần được xác nhận trước khi ghi nhận.</w:t>
      </w:r>
    </w:p>
    <w:p>
      <w:pPr>
        <w:spacing w:after="120" w:before="0" w:line="360" w:lineRule="auto"/>
        <w:ind w:firstLine="567"/>
        <w:jc w:val="both"/>
      </w:pPr>
      <w:r>
        <w:rPr>
          <w:rFonts w:ascii="Times New Roman" w:hAnsi="Times New Roman" w:eastAsia="Times New Roman"/>
          <w:b w:val="0"/>
          <w:i w:val="0"/>
          <w:color w:val="000000"/>
          <w:sz w:val="26"/>
        </w:rPr>
        <w:t>Khách hàng có luồng hội thoại riêng: đặt chuyến, theo dõi chuyến, hỏi thời gian tài xế đến, hoặc nghe cuộc gọi do tác nhân thực hiện thay tài xế. Luận văn không khảo sát trải nghiệm của khách hàng thật; luồng khách hàng được đánh giá qua bộ trường hợp kiểm thử (test case) với tiêu chí đạt hoặc không đạt theo điều kiện nghiệp vụ.</w:t>
      </w:r>
    </w:p>
    <w:p>
      <w:pPr>
        <w:spacing w:after="120" w:before="0" w:line="360" w:lineRule="auto"/>
        <w:ind w:firstLine="567"/>
        <w:jc w:val="both"/>
      </w:pPr>
      <w:r>
        <w:rPr>
          <w:rFonts w:ascii="Times New Roman" w:hAnsi="Times New Roman" w:eastAsia="Times New Roman"/>
          <w:b w:val="0"/>
          <w:i w:val="0"/>
          <w:color w:val="000000"/>
          <w:sz w:val="26"/>
        </w:rPr>
        <w:t>Người điều phối và quản trị viên tạo chuyến thử nghiệm và theo dõi cuộc gọi trên trang quản trị điều hành; người vận hành kỹ thuật giám sát tình trạng hệ thống và xem báo cáo vận hành hằng ngày trên trang giám sát hệ thống. Các đối tượng này không nằm trên luồng xử lý chính của hội thoại nhưng cần thiết để nguyên mẫu vận hành đầy đủ.</w:t>
      </w:r>
    </w:p>
    <w:p>
      <w:pPr>
        <w:pStyle w:val="Heading3"/>
        <w:spacing w:after="160" w:before="240" w:line="240" w:lineRule="auto"/>
        <w:ind w:firstLine="0"/>
        <w:jc w:val="both"/>
      </w:pPr>
      <w:r>
        <w:rPr>
          <w:rFonts w:ascii="Times New Roman" w:hAnsi="Times New Roman" w:eastAsia="Times New Roman"/>
          <w:b/>
          <w:i w:val="0"/>
          <w:color w:val="000000"/>
          <w:sz w:val="26"/>
        </w:rPr>
        <w:t>3.2.2. Thành phần hệ thống</w:t>
      </w:r>
    </w:p>
    <w:p>
      <w:pPr>
        <w:spacing w:after="120" w:before="0" w:line="360" w:lineRule="auto"/>
        <w:ind w:firstLine="567"/>
        <w:jc w:val="both"/>
      </w:pPr>
      <w:r>
        <w:rPr>
          <w:rFonts w:ascii="Times New Roman" w:hAnsi="Times New Roman" w:eastAsia="Times New Roman"/>
          <w:b w:val="0"/>
          <w:i w:val="0"/>
          <w:color w:val="000000"/>
          <w:sz w:val="26"/>
        </w:rPr>
        <w:t>Hệ thống gồm các thành phần sau; tên tiếng Việt được dùng trong toàn bộ luận văn, tên kỹ thuật tương ứng trong mã nguồn nêu trong ngoặc và tổng hợp ở Phụ lục G. Bảng 3.1 mô tả trách nhiệm và ranh giới của từng thành phần.</w:t>
      </w:r>
    </w:p>
    <w:p>
      <w:pPr>
        <w:keepNext/>
        <w:spacing w:after="120" w:before="0" w:line="240" w:lineRule="auto"/>
        <w:ind w:firstLine="0"/>
        <w:jc w:val="center"/>
      </w:pPr>
      <w:r>
        <w:rPr>
          <w:rFonts w:ascii="Times New Roman" w:hAnsi="Times New Roman" w:eastAsia="Times New Roman"/>
          <w:b/>
          <w:i w:val="0"/>
          <w:color w:val="000000"/>
          <w:sz w:val="24"/>
        </w:rPr>
        <w:t>Bảng 3.1. Thành phần hệ thống, trách nhiệm và ranh giới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16"/>
        <w:gridCol w:w="4049"/>
        <w:gridCol w:w="2222"/>
      </w:tblGrid>
      <w:tr>
        <w:trPr>
          <w:cantSplit/>
          <w:tblHeader w:val="true"/>
        </w:trPr>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40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Trách nhiệm</w:t>
            </w:r>
          </w:p>
        </w:tc>
        <w:tc>
          <w:tcPr>
            <w:tcW w:type="dxa" w:w="22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Ranh giới (không thực hiện)</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(driver-app)</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xin token thoại, tham gia phòng hội thoại, thu và phát âm thanh, nhận dạng từ khóa đánh thức, hiển thị giao diện</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tự tạo dữ liệu chuyến; không phát hành JWT</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(identity-service)</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khoản, đăng nhập, phát hành JWT, lưu cài đặt tài xế</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ghi dữ liệu chuyến</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(external-api-service)</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Nguồn dữ liệu chuẩn về chuyến đi; cung cấp ngữ cảnh tài xế; cấp token thoại; gửi lời mời nhận chuyến; khởi tạo cuộc gọi thoại qua nền tảng truyền thông thời gian thực (SIP)</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phát hành JWT đăng nhập; không gửi SMS trực tiếp</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giọng nói (llm-orchestrator)</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hội thoại STT – LLM kèm gọi công cụ – TTS; gọi API nghiệp vụ qua HTTP</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truy cập cơ sở dữ liệu; không lưu dữ liệu nghiệp vụ</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(LiveKit Cloud)</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qua WebRTC; quay số ra mạng điện thoại qua SIP trunk; phân công tác nhân vào phòng</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chứa logic nghiệp vụ</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 (external-​channel-​service)</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tin nhắn SMS; nhận và lưu sự kiện do nhà cung cấp dịch vụ thoại (Twilio) gửi về (trạng thái cuộc gọi, tin nhắn đến, kết quả gửi SMS)</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nguồn dữ liệu chuyến; không tham gia cuộc gọi thoại qua SIP</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(call-records-service)</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 hội thoại, tóm tắt và chỉ số chất lượng của phiên do tác nhân gửi khi kết thúc phiên; cung cấp bản ghi để tra cứu theo người gọi hoặc theo ngày</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điều khiển nghiệp vụ chuyến</w:t>
            </w:r>
          </w:p>
        </w:tc>
      </w:tr>
      <w:tr>
        <w:trPr>
          <w:cantSplit/>
        </w:trPr>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(ops-service)</w:t>
            </w:r>
          </w:p>
        </w:tc>
        <w:tc>
          <w:tcPr>
            <w:tcW w:type="dxa" w:w="40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tình trạng các dịch vụ, nhật ký và cấu hình tác nhân; lập và lưu báo cáo vận hành hằng ngày</w:t>
            </w:r>
          </w:p>
        </w:tc>
        <w:tc>
          <w:tcPr>
            <w:tcW w:type="dxa" w:w="22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nằm trên luồng xử lý chính của hội thoại; chỉ đọc dữ liệu của dịch vụ khác qua API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3.3. Kịch bản vận hành của phiên trợ lý</w:t>
      </w:r>
    </w:p>
    <w:p>
      <w:pPr>
        <w:pStyle w:val="Heading3"/>
        <w:spacing w:after="160" w:before="240" w:line="240" w:lineRule="auto"/>
        <w:ind w:firstLine="0"/>
        <w:jc w:val="both"/>
      </w:pPr>
      <w:r>
        <w:rPr>
          <w:rFonts w:ascii="Times New Roman" w:hAnsi="Times New Roman" w:eastAsia="Times New Roman"/>
          <w:b/>
          <w:i w:val="0"/>
          <w:color w:val="000000"/>
          <w:sz w:val="26"/>
        </w:rPr>
        <w:t>3.3.1. Tài xế chủ động mở trợ lý trong ứng dụng</w:t>
      </w:r>
    </w:p>
    <w:p>
      <w:pPr>
        <w:spacing w:after="120" w:before="0" w:line="360" w:lineRule="auto"/>
        <w:ind w:firstLine="567"/>
        <w:jc w:val="both"/>
      </w:pPr>
      <w:r>
        <w:rPr>
          <w:rFonts w:ascii="Times New Roman" w:hAnsi="Times New Roman" w:eastAsia="Times New Roman"/>
          <w:b w:val="0"/>
          <w:i w:val="0"/>
          <w:color w:val="000000"/>
          <w:sz w:val="26"/>
        </w:rPr>
        <w:t>Khi tài xế bấm nút trợ lý hoặc nói từ khóa đánh thức, ứng dụng dùng JWT đã được Dịch vụ Định danh phát hành để xin token thoại từ Dịch vụ Chuyến đi và Điều phối, sau đó tham gia phòng hội thoại trên nền tảng truyền thông thời gian thực; tác nhân hội thoại được phân công vào phòng và kết nối âm thanh. Nếu phòng của phiên trước vẫn còn tác nhân, hệ thống tái sử dụng phòng đó. Tác nhân phát lời chào ngắn ngay khi vào phòng, đồng thời tải trước ngữ cảnh tài xế (danh sách chuyến, chuyến hiện tại, thu nhập trong ngày, chế độ gọi khách mặc định), sau đó hỏi tài xế cần hỗ trợ gì. Chuỗi bước chi tiết trình bày ở sequence S2 (mục 4.5).</w:t>
      </w:r>
    </w:p>
    <w:p>
      <w:pPr>
        <w:spacing w:after="120" w:before="0" w:line="360" w:lineRule="auto"/>
        <w:ind w:firstLine="567"/>
        <w:jc w:val="both"/>
      </w:pPr>
      <w:r>
        <w:rPr>
          <w:rFonts w:ascii="Times New Roman" w:hAnsi="Times New Roman" w:eastAsia="Times New Roman"/>
          <w:b w:val="0"/>
          <w:i w:val="0"/>
          <w:color w:val="000000"/>
          <w:sz w:val="26"/>
        </w:rPr>
        <w:t>Ngữ cảnh được giữ trong trạng thái phiên để các câu hỏi như "hôm nay còn mấy chuyến?" được trả lời từ dữ liệu đã tải hoặc làm mới qua API, giảm số lần gọi mạng lặp lại. Khi ngữ cảnh trống hoặc API lỗi, tác nhân phải thông báo chưa có dữ liệu thay vì tạo ra thông tin không có nguồn.</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được xử lý theo một luồng duy nhất: STT, LLM kèm gọi công cụ, rồi TTS. Khi phản hồi chưa sẵn sàng sau khoảng hai giây, hệ thống phát một câu đệm ngắn (ví dụ "Đợi mình một chút") không chứa dữ liệu nghiệp vụ.</w:t>
      </w:r>
    </w:p>
    <w:p>
      <w:pPr>
        <w:pStyle w:val="Heading3"/>
        <w:spacing w:after="160" w:before="240" w:line="240" w:lineRule="auto"/>
        <w:ind w:firstLine="0"/>
        <w:jc w:val="both"/>
      </w:pPr>
      <w:r>
        <w:rPr>
          <w:rFonts w:ascii="Times New Roman" w:hAnsi="Times New Roman" w:eastAsia="Times New Roman"/>
          <w:b/>
          <w:i w:val="0"/>
          <w:color w:val="000000"/>
          <w:sz w:val="26"/>
        </w:rPr>
        <w:t>3.3.2. Hệ thống chủ động gọi điện mời tài xế nhận chuyến</w:t>
      </w:r>
    </w:p>
    <w:p>
      <w:pPr>
        <w:spacing w:after="120" w:before="0" w:line="360" w:lineRule="auto"/>
        <w:ind w:firstLine="567"/>
        <w:jc w:val="both"/>
      </w:pPr>
      <w:r>
        <w:rPr>
          <w:rFonts w:ascii="Times New Roman" w:hAnsi="Times New Roman" w:eastAsia="Times New Roman"/>
          <w:b w:val="0"/>
          <w:i w:val="0"/>
          <w:color w:val="000000"/>
          <w:sz w:val="26"/>
        </w:rPr>
        <w:t>Khi có chuyến mới cần tài xế xác nhận, Dịch vụ Chuyến đi và Điều phối khởi tạo cuộc gọi SIP tới tài xế thông qua nền tảng truyền thông thời gian thực, tạo phòng hội thoại gắn thông tin chuyến. Trong phiên này, tác nhân chỉ được phép thực hiện hai thao tác: nhận chuyến hoặc từ chối chuyến. Lời chào nêu điểm đón và hỏi tài xế có nhận chuyến không. Việc giới hạn tập công cụ phù hợp với thực tế: khi điện thoại đổ chuông, tài xế không nên được đưa vào toàn bộ chức năng như khi chủ động mở trợ lý. Nếu tài xế đang có phiên trợ lý trong ứng dụng, hệ thống gửi thông báo vào phòng hiện có thay vì tạo cuộc gọi mới.</w:t>
      </w:r>
    </w:p>
    <w:p>
      <w:pPr>
        <w:pStyle w:val="Heading3"/>
        <w:spacing w:after="160" w:before="240" w:line="240" w:lineRule="auto"/>
        <w:ind w:firstLine="0"/>
        <w:jc w:val="both"/>
      </w:pPr>
      <w:r>
        <w:rPr>
          <w:rFonts w:ascii="Times New Roman" w:hAnsi="Times New Roman" w:eastAsia="Times New Roman"/>
          <w:b/>
          <w:i w:val="0"/>
          <w:color w:val="000000"/>
          <w:sz w:val="26"/>
        </w:rPr>
        <w:t>3.3.3. Ba chế độ gọi khách hàng</w:t>
      </w:r>
    </w:p>
    <w:p>
      <w:pPr>
        <w:spacing w:after="120" w:before="0" w:line="360" w:lineRule="auto"/>
        <w:ind w:firstLine="567"/>
        <w:jc w:val="both"/>
      </w:pPr>
      <w:r>
        <w:rPr>
          <w:rFonts w:ascii="Times New Roman" w:hAnsi="Times New Roman" w:eastAsia="Times New Roman"/>
          <w:b w:val="0"/>
          <w:i w:val="0"/>
          <w:color w:val="000000"/>
          <w:sz w:val="26"/>
        </w:rPr>
        <w:t>Khi tài xế yêu cầu gọi khách, hệ thống hỗ trợ ba chế độ tương ứng ba hoàn cảnh sử dụng (Bảng 3.2).</w:t>
      </w:r>
    </w:p>
    <w:p>
      <w:pPr>
        <w:keepNext/>
        <w:spacing w:after="120" w:before="0" w:line="240" w:lineRule="auto"/>
        <w:ind w:firstLine="0"/>
        <w:jc w:val="center"/>
      </w:pPr>
      <w:r>
        <w:rPr>
          <w:rFonts w:ascii="Times New Roman" w:hAnsi="Times New Roman" w:eastAsia="Times New Roman"/>
          <w:b/>
          <w:i w:val="0"/>
          <w:color w:val="000000"/>
          <w:sz w:val="24"/>
        </w:rPr>
        <w:t>Bảng 3.2.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Chế độ mặc định lấy từ cài đặt của tài xế (lưu ở Dịch vụ Định danh và đưa vào ngữ cảnh phiên), trừ khi tài xế nêu rõ chế độ khác trong câu nói. Gọi số điện thoại không thuộc chuyến hiện tại bắt buộc có bước xác nhận trước khi quay số.</w:t>
      </w:r>
    </w:p>
    <w:p>
      <w:pPr>
        <w:pStyle w:val="Heading2"/>
        <w:spacing w:after="160" w:before="240" w:line="240" w:lineRule="auto"/>
        <w:ind w:firstLine="0"/>
        <w:jc w:val="both"/>
      </w:pPr>
      <w:r>
        <w:rPr>
          <w:rFonts w:ascii="Times New Roman" w:hAnsi="Times New Roman" w:eastAsia="Times New Roman"/>
          <w:b/>
          <w:i w:val="0"/>
          <w:color w:val="000000"/>
          <w:sz w:val="26"/>
        </w:rPr>
        <w:t>3.4.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nhóm theo nghiệp vụ. Mỗi yêu cầu nêu hành vi hệ thống phải thực hiện, thành phần phụ trách chính và điều kiện chấp nhận. Điều kiện chấp nhận chung cho mọi yêu cầu: tác nhân không được tạo ra dữ liệu chuyến, thu nhập, vị trí hoặc kết quả cuộc gọi không có nguồn từ API nghiệp vụ. Tập công cụ tiếng Việt hiện thực các yêu cầu này gồm 45 công cụ: 39 công cụ cho phiên tài xế trong ứng dụng, 2 công cụ cho phiên mời nhận chuyến (dùng chung với phiên trong ứng dụng) và 7 công cụ cho phiên khách hàng (1 công cụ hỏi đáp dùng chung); danh mục ở Phụ lục A. Gói tiếng Anh có cùng 39 công cụ cho tài xế; phía khách hàng, gói tiếng Anh hiện có 4 công cụ.</w:t>
      </w:r>
    </w:p>
    <w:p>
      <w:pPr>
        <w:pStyle w:val="Heading3"/>
        <w:spacing w:after="160" w:before="240" w:line="240" w:lineRule="auto"/>
        <w:ind w:firstLine="0"/>
        <w:jc w:val="both"/>
      </w:pPr>
      <w:r>
        <w:rPr>
          <w:rFonts w:ascii="Times New Roman" w:hAnsi="Times New Roman" w:eastAsia="Times New Roman"/>
          <w:b/>
          <w:i w:val="0"/>
          <w:color w:val="000000"/>
          <w:sz w:val="26"/>
        </w:rPr>
        <w:t>3.4.1. Nhóm nghiệp vụ chuyến đi</w:t>
      </w:r>
    </w:p>
    <w:p>
      <w:pPr>
        <w:spacing w:after="120" w:before="0" w:line="360" w:lineRule="auto"/>
        <w:ind w:firstLine="567"/>
        <w:jc w:val="both"/>
      </w:pPr>
      <w:r>
        <w:rPr>
          <w:rFonts w:ascii="Times New Roman" w:hAnsi="Times New Roman" w:eastAsia="Times New Roman"/>
          <w:b w:val="0"/>
          <w:i w:val="0"/>
          <w:color w:val="000000"/>
          <w:sz w:val="26"/>
        </w:rPr>
        <w:t>Nhóm này gồm các yêu cầu trong vòng đời một chuyến, từ xem lịch, nhận chuyến, cập nhật tiến độ đến hủy chuyến (Bảng 3.3).</w:t>
      </w:r>
    </w:p>
    <w:p>
      <w:pPr>
        <w:keepNext/>
        <w:spacing w:after="120" w:before="0" w:line="240" w:lineRule="auto"/>
        <w:ind w:firstLine="0"/>
        <w:jc w:val="center"/>
      </w:pPr>
      <w:r>
        <w:rPr>
          <w:rFonts w:ascii="Times New Roman" w:hAnsi="Times New Roman" w:eastAsia="Times New Roman"/>
          <w:b/>
          <w:i w:val="0"/>
          <w:color w:val="000000"/>
          <w:sz w:val="24"/>
        </w:rPr>
        <w:t>Bảng 3.3. Yêu cầu chức năng nhóm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2832"/>
        <w:gridCol w:w="2560"/>
        <w:gridCol w:w="2451"/>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8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phụ trách</w:t>
            </w:r>
          </w:p>
        </w:tc>
        <w:tc>
          <w:tcPr>
            <w:tcW w:type="dxa" w:w="24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 chấp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Liệt kê các chuyến sắp tới trong ngày</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khớp dữ liệu API</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Cung cấp thông tin chuyến hiện tại (điểm đón, điểm trả, trạng thái)</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trạng thái chuyến (đã đến, đã đón, hoàn thành)</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API trả về thành công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mới, cả trong ứng dụng và trong cuộc gọi mời nhận chuyến</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nền tảng truyền thông thời gian thực (SIP)</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thao tác nhận/từ chối, không nhầm với hủy chuyến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theo hai bước: đề nghị rồi xác nhận</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với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28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điểm dừng tiếp theo, lộ trình tối ưu và tình trạng giao thông</w:t>
            </w:r>
          </w:p>
        </w:tc>
        <w:tc>
          <w:tcPr>
            <w:tcW w:type="dxa" w:w="2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24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API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Nhóm nghiệp vụ liên lạc khách hàng</w:t>
      </w:r>
    </w:p>
    <w:p>
      <w:pPr>
        <w:spacing w:after="120" w:before="0" w:line="360" w:lineRule="auto"/>
        <w:ind w:firstLine="567"/>
        <w:jc w:val="both"/>
      </w:pPr>
      <w:r>
        <w:rPr>
          <w:rFonts w:ascii="Times New Roman" w:hAnsi="Times New Roman" w:eastAsia="Times New Roman"/>
          <w:b w:val="0"/>
          <w:i w:val="0"/>
          <w:color w:val="000000"/>
          <w:sz w:val="26"/>
        </w:rPr>
        <w:t>Nhóm này gồm các yêu cầu gọi điện, nhắn tin và theo dõi kết quả liên lạc với khách hàng (Bảng 3.4).</w:t>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nhóm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56"/>
        <w:gridCol w:w="2462"/>
        <w:gridCol w:w="3068"/>
        <w:gridCol w:w="2300"/>
      </w:tblGrid>
      <w:tr>
        <w:trPr>
          <w:cantSplit/>
          <w:tblHeader w:val="true"/>
        </w:trPr>
        <w:tc>
          <w:tcPr>
            <w:tcW w:type="dxa" w:w="9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phụ trách</w:t>
            </w:r>
          </w:p>
        </w:tc>
        <w:tc>
          <w:tcPr>
            <w:tcW w:type="dxa" w:w="2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 chấp nhận</w:t>
            </w:r>
          </w:p>
        </w:tc>
      </w:tr>
      <w:tr>
        <w:trPr>
          <w:cantSplit/>
        </w:trPr>
        <w:tc>
          <w:tcPr>
            <w:tcW w:type="dxa" w:w="9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2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chuyến theo một trong ba chế độ (Bảng 3.2)</w:t>
            </w:r>
          </w:p>
        </w:tc>
        <w:tc>
          <w:tcPr>
            <w:tcW w:type="dxa" w:w="30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 nền tảng truyền thông thời gian thực (SIP)</w:t>
            </w:r>
          </w:p>
        </w:tc>
        <w:tc>
          <w:tcPr>
            <w:tcW w:type="dxa" w:w="2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áp dụng chế độ mặc định trừ khi tài xế nêu khác</w:t>
            </w:r>
          </w:p>
        </w:tc>
      </w:tr>
      <w:tr>
        <w:trPr>
          <w:cantSplit/>
        </w:trPr>
        <w:tc>
          <w:tcPr>
            <w:tcW w:type="dxa" w:w="9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2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số điện thoại khác hoặc liên hệ trong danh bạ</w:t>
            </w:r>
          </w:p>
        </w:tc>
        <w:tc>
          <w:tcPr>
            <w:tcW w:type="dxa" w:w="30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 nền tảng truyền thông thời gian thực (SIP)</w:t>
            </w:r>
          </w:p>
        </w:tc>
        <w:tc>
          <w:tcPr>
            <w:tcW w:type="dxa" w:w="2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bước xác nhận trước khi quay số</w:t>
            </w:r>
          </w:p>
        </w:tc>
      </w:tr>
      <w:tr>
        <w:trPr>
          <w:cantSplit/>
        </w:trPr>
        <w:tc>
          <w:tcPr>
            <w:tcW w:type="dxa" w:w="9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2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tin nhắn SMS cho khách hoặc số khác</w:t>
            </w:r>
          </w:p>
        </w:tc>
        <w:tc>
          <w:tcPr>
            <w:tcW w:type="dxa" w:w="30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Kênh liên lạc</w:t>
            </w:r>
          </w:p>
        </w:tc>
        <w:tc>
          <w:tcPr>
            <w:tcW w:type="dxa" w:w="2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thành công hoặc thất bại</w:t>
            </w:r>
          </w:p>
        </w:tc>
      </w:tr>
      <w:tr>
        <w:trPr>
          <w:cantSplit/>
        </w:trPr>
        <w:tc>
          <w:tcPr>
            <w:tcW w:type="dxa" w:w="9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2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Cung cấp vị trí khách và xác nhận chuyến với khách</w:t>
            </w:r>
          </w:p>
        </w:tc>
        <w:tc>
          <w:tcPr>
            <w:tcW w:type="dxa" w:w="30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2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và tóm tắt cuộc gọi gần nhất</w:t>
            </w:r>
          </w:p>
        </w:tc>
        <w:tc>
          <w:tcPr>
            <w:tcW w:type="dxa" w:w="30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w:t>
            </w:r>
          </w:p>
        </w:tc>
        <w:tc>
          <w:tcPr>
            <w:tcW w:type="dxa" w:w="2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Nhóm nghiệp vụ chờ đón, sự cố, thu nhập, hỗ trợ và ngôn ngữ</w:t>
      </w:r>
    </w:p>
    <w:p>
      <w:pPr>
        <w:spacing w:after="120" w:before="0" w:line="360" w:lineRule="auto"/>
        <w:ind w:firstLine="567"/>
        <w:jc w:val="both"/>
      </w:pPr>
      <w:r>
        <w:rPr>
          <w:rFonts w:ascii="Times New Roman" w:hAnsi="Times New Roman" w:eastAsia="Times New Roman"/>
          <w:b w:val="0"/>
          <w:i w:val="0"/>
          <w:color w:val="000000"/>
          <w:sz w:val="26"/>
        </w:rPr>
        <w:t>Nhóm này gồm các yêu cầu còn lại của luồng tài xế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nhóm chờ đón, sự cố, thu nhập, hỗ trợ và ngôn ngữ</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2860"/>
        <w:gridCol w:w="2030"/>
        <w:gridCol w:w="2879"/>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8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phụ trách</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 chấp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 và đọc lại thời điểm nhắc</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thời gian chờ khách</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được ghi nhận qua API</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sau khi xác nhận</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sự cố trong chuyến</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thu nhập trong ngày và theo kỳ, lịch sử chuyến và chỉ số tài xế</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API;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Bật hoặc tắt trạng thái sẵn sàng nhận chuyến</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 qua API</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(truy xuất tri thức)</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tài liệu hướng dẫn; câu hỏi ngoài phạm vi được từ chối và hướng dẫn kênh phù hợp</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tiếng Việt và tiếng Anh cho luồng tài xế</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công cụ tài xế ở hai ngôn ngữ</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theo yêu cầu hoặc sau khi tài xế im lặng kéo dài</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Dịch vụ Chuyến đi và Điều phối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28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tập công cụ theo loại phiên (trong ứng dụng, mời nhận chuyến, khách hàng)</w:t>
            </w:r>
          </w:p>
        </w:tc>
        <w:tc>
          <w:tcPr>
            <w:tcW w:type="dxa" w:w="20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nhận/từ chối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3.4.4. Nhóm kích hoạt và kết thúc chế độ nói trực tiếp</w:t>
      </w:r>
    </w:p>
    <w:p>
      <w:pPr>
        <w:spacing w:after="120" w:before="0" w:line="360" w:lineRule="auto"/>
        <w:ind w:firstLine="567"/>
        <w:jc w:val="both"/>
      </w:pPr>
      <w:r>
        <w:rPr>
          <w:rFonts w:ascii="Times New Roman" w:hAnsi="Times New Roman" w:eastAsia="Times New Roman"/>
          <w:b w:val="0"/>
          <w:i w:val="0"/>
          <w:color w:val="000000"/>
          <w:sz w:val="26"/>
        </w:rPr>
        <w:t>Hai yêu cầu trong nhóm này không đi qua lượt gọi công cụ như các nhóm trên (Bảng 3.6). Từ khóa đánh thức được nhận dạng ngay trên điện thoại thay vì tách thành một dịch vụ riêng trên máy chủ, vì ba lý do:</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Phải phản hồi tức thì khi tài xế nói từ khóa.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Không nên gửi âm thanh liên tục lên máy chủ khi trợ lý chưa được kích hoạt.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nhóm kích hoạt (FR-A)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2269"/>
        <w:gridCol w:w="1741"/>
        <w:gridCol w:w="380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phụ trách</w:t>
            </w:r>
          </w:p>
        </w:tc>
        <w:tc>
          <w:tcPr>
            <w:tcW w:type="dxa" w:w="3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 chấp nhận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22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(nhận dạng trên thiết bị)</w:t>
            </w:r>
          </w:p>
        </w:tc>
        <w:tc>
          <w:tcPr>
            <w:tcW w:type="dxa" w:w="3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theo cùng luồng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22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chế độ nói trực tiếp bằng cụm từ quy định</w:t>
            </w:r>
          </w:p>
        </w:tc>
        <w:tc>
          <w:tcPr>
            <w:tcW w:type="dxa" w:w="1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3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3.4.5. Nhóm giám sát vận hành</w:t>
      </w:r>
    </w:p>
    <w:p>
      <w:pPr>
        <w:spacing w:after="120" w:before="0" w:line="360" w:lineRule="auto"/>
        <w:ind w:firstLine="567"/>
        <w:jc w:val="both"/>
      </w:pPr>
      <w:r>
        <w:rPr>
          <w:rFonts w:ascii="Times New Roman" w:hAnsi="Times New Roman" w:eastAsia="Times New Roman"/>
          <w:b w:val="0"/>
          <w:i w:val="0"/>
          <w:color w:val="000000"/>
          <w:sz w:val="26"/>
        </w:rPr>
        <w:t>Người vận hành cần đánh giá hệ thống theo từng ngày mà không phải đọc từng bản ghi hội thoại. Yêu cầu này làm Dịch vụ Giám sát vận hành sở hữu một loại dữ liệu của riêng nó là báo cáo đã tổng hợp (Bảng 3.7).</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nhóm giám sát vận hành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3481"/>
        <w:gridCol w:w="2185"/>
        <w:gridCol w:w="2154"/>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4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phụ trách</w:t>
            </w:r>
          </w:p>
        </w:tc>
        <w:tc>
          <w:tcPr>
            <w:tcW w:type="dxa" w:w="21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 chấp nhận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34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1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(dữ liệu nguồn); tác nhân hội thoại (chỉ số phiên)</w:t>
            </w:r>
          </w:p>
        </w:tc>
        <w:tc>
          <w:tcPr>
            <w:tcW w:type="dxa" w:w="21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34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theo ngày và xu hướng 7 ngày trên trang giám sát hệ thống</w:t>
            </w:r>
          </w:p>
        </w:tc>
        <w:tc>
          <w:tcPr>
            <w:tcW w:type="dxa" w:w="21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trang giám sát hệ thống</w:t>
            </w:r>
          </w:p>
        </w:tc>
        <w:tc>
          <w:tcPr>
            <w:tcW w:type="dxa" w:w="21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3.5. Trường hợp sử dụng chính</w:t>
      </w:r>
    </w:p>
    <w:p>
      <w:pPr>
        <w:spacing w:after="120" w:before="0" w:line="360" w:lineRule="auto"/>
        <w:ind w:firstLine="567"/>
        <w:jc w:val="both"/>
      </w:pPr>
      <w:r>
        <w:rPr>
          <w:rFonts w:ascii="Times New Roman" w:hAnsi="Times New Roman" w:eastAsia="Times New Roman"/>
          <w:b w:val="0"/>
          <w:i w:val="0"/>
          <w:color w:val="000000"/>
          <w:sz w:val="26"/>
        </w:rPr>
        <w:t>Bảng 3.8 tóm tắt mười một trường hợp sử dụng (use case) cốt lõi cùng luồng thành công và luồng ngoại lệ;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3.8. Trường hợp sử dụng cốt lõi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1896"/>
        <w:gridCol w:w="1800"/>
        <w:gridCol w:w="1875"/>
        <w:gridCol w:w="244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liên quan</w:t>
            </w:r>
          </w:p>
        </w:tc>
        <w:tc>
          <w:tcPr>
            <w:tcW w:type="dxa" w:w="18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24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phải xử lý</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 trong ứng dụng</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qua cuộc gọi mời nhận chuyến</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API lỗi: thông báo không cập nhật được</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hàng</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khởi tạo đúng chế độ</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thông báo rõ</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hoặc báo sự cố</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 FR-I02</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 ứng dụng</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tài liệu hướng dẫn</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thu nhập, bật/tắt nhận chuyến</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không trả dữ liệu: thông báo chưa có</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hoặc lỗi API giữa phiên</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tài xế hoặc thông báo lỗi ngắn; phiên không bị kết thúc bất thường</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tạo thông tin thay thế cho dữ liệu lỗi</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trong ứng dụng</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18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xem báo cáo ngày</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8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24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3.6.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3.6.1. Đặc tả yêu cầu phi chức năng</w:t>
      </w:r>
    </w:p>
    <w:p>
      <w:pPr>
        <w:spacing w:line="360" w:lineRule="auto" w:after="120"/>
        <w:ind w:firstLine="567"/>
        <w:jc w:val="both"/>
      </w:pPr>
      <w:r>
        <w:rPr>
          <w:rFonts w:ascii="Times New Roman" w:hAnsi="Times New Roman" w:eastAsia="Times New Roman"/>
          <w:color w:val="000000"/>
          <w:sz w:val="26"/>
        </w:rPr>
        <w:t xml:space="preserve">Luận văn tập trung vào năm yêu cầu phi chức năng: khả năng sử dụng, hiệu năng, khả năng mở rộng, khả năng phục hồi và bảo mật. 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trình bày trong Bảng 3.9.</w:t>
      </w:r>
    </w:p>
    <w:p>
      <w:pPr>
        <w:keepNext/>
        <w:spacing w:after="120" w:before="0" w:line="240" w:lineRule="auto"/>
        <w:ind w:firstLine="0"/>
        <w:jc w:val="center"/>
      </w:pPr>
      <w:r>
        <w:rPr>
          <w:rFonts w:ascii="Times New Roman" w:hAnsi="Times New Roman" w:eastAsia="Times New Roman"/>
          <w:b/>
          <w:i w:val="0"/>
          <w:color w:val="000000"/>
          <w:sz w:val="24"/>
        </w:rPr>
        <w:t>Bảng 3.9.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658"/>
        <w:gridCol w:w="2553"/>
        <w:gridCol w:w="1940"/>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25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9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(Interaction capability)</w:t>
            </w:r>
          </w:p>
        </w:tc>
        <w:tc>
          <w:tcPr>
            <w:tcW w:type="dxa" w:w="1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25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9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 (time behaviour)</w:t>
            </w:r>
          </w:p>
        </w:tc>
        <w:tc>
          <w:tcPr>
            <w:tcW w:type="dxa" w:w="1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25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9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 (thuộc Flexibility)</w:t>
            </w:r>
          </w:p>
        </w:tc>
        <w:tc>
          <w:tcPr>
            <w:tcW w:type="dxa" w:w="1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25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9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 availability, fault tolerance, recoverability (khả năng phục hồi)</w:t>
            </w:r>
          </w:p>
        </w:tc>
        <w:tc>
          <w:tcPr>
            <w:tcW w:type="dxa" w:w="1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25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9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Security (confidentiality,​ authenticity)</w:t>
            </w:r>
          </w:p>
        </w:tc>
        <w:tc>
          <w:tcPr>
            <w:tcW w:type="dxa" w:w="1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25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khác xác minh; tham số bí mật không nằm trong mã nguồn; nhật ký không chứa số điện thoại đầy đủ hoặc token</w:t>
            </w:r>
          </w:p>
        </w:tc>
        <w:tc>
          <w:tcPr>
            <w:tcW w:type="dxa" w:w="19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3.6.2.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3.10).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3.10.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614"/>
        <w:gridCol w:w="2170"/>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61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1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61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chỉ truy cập dữ liệu nghiệp vụ qua API HTTP, không kết nối trực tiếp cơ sở dữ liệu</w:t>
            </w:r>
          </w:p>
        </w:tc>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kiện chấp nhận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61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61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61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1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3.7. Từ yêu cầu phi chức năng đến tính chất của kiến trúc microservices</w:t>
      </w:r>
    </w:p>
    <w:p>
      <w:pPr>
        <w:spacing w:after="120" w:before="0" w:line="360" w:lineRule="auto"/>
        <w:ind w:firstLine="567"/>
        <w:jc w:val="both"/>
      </w:pPr>
      <w:r>
        <w:rPr>
          <w:rFonts w:ascii="Times New Roman" w:hAnsi="Times New Roman" w:eastAsia="Times New Roman"/>
          <w:b w:val="0"/>
          <w:i w:val="0"/>
          <w:color w:val="000000"/>
          <w:sz w:val="26"/>
        </w:rPr>
        <w:t>Bảng 3.11 đối chiếu từng yêu cầu phi chức năng với tính chất của kiến trúc microservices có khả năng đáp ứng yêu cầu đó (mục 2.5), cùng cơ chế dự kiến trong hệ thống.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3.11. Đối chiếu yêu cầu phi chức năng với tính chất của kiến trúc microservices</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76"/>
        <w:gridCol w:w="2630"/>
        <w:gridCol w:w="4781"/>
      </w:tblGrid>
      <w:tr>
        <w:trPr>
          <w:cantSplit/>
          <w:tblHeader w:val="true"/>
        </w:trPr>
        <w:tc>
          <w:tcPr>
            <w:tcW w:type="dxa" w:w="13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 microservices</w:t>
            </w:r>
          </w:p>
        </w:tc>
        <w:tc>
          <w:tcPr>
            <w:tcW w:type="dxa" w:w="47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Performance</w:t>
            </w:r>
          </w:p>
        </w:tc>
        <w:tc>
          <w:tcPr>
            <w:tcW w:type="dxa" w:w="2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 biệt công nghệ; tách xử lý thời gian thực khỏi xử lý giao dịch</w:t>
            </w:r>
          </w:p>
        </w:tc>
        <w:tc>
          <w:tcPr>
            <w:tcW w:type="dxa" w:w="4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viết bằng Python, chạy dài hạn trên container, duy trì kết nối âm thanh; API giao dịch viết bằng Node.js chạy trên FaaS; tải trước ngữ cảnh phiên</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Scalability</w:t>
            </w:r>
          </w:p>
        </w:tc>
        <w:tc>
          <w:tcPr>
            <w:tcW w:type="dxa" w:w="2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từng dịch vụ (trục X và trục Y của scale cube)</w:t>
            </w:r>
          </w:p>
        </w:tc>
        <w:tc>
          <w:tcPr>
            <w:tcW w:type="dxa" w:w="4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API nghiệp vụ tự động mở rộng theo số yêu cầu; cơ sở dữ liệu tính phí theo yêu cầu</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Resilience</w:t>
            </w:r>
          </w:p>
        </w:tc>
        <w:tc>
          <w:tcPr>
            <w:tcW w:type="dxa" w:w="2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cô lập lỗi; dịch vụ phi trạng thái; mỗi dịch vụ một cơ sở dữ liệu</w:t>
            </w:r>
          </w:p>
        </w:tc>
        <w:tc>
          <w:tcPr>
            <w:tcW w:type="dxa" w:w="4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và suy giảm có kiểm soát khi gọi API; dự phòng nhà cung cấp STT, LLM, TTS; nền tảng container tự thay thế bản sao lỗi; chỉ số phiên và báo cáo ngày để phát hiện suy giảm</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Security</w:t>
            </w:r>
          </w:p>
        </w:tc>
        <w:tc>
          <w:tcPr>
            <w:tcW w:type="dxa" w:w="2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thực tập trung, xác minh phân tán; đặc quyền tối thiểu</w:t>
            </w:r>
          </w:p>
        </w:tc>
        <w:tc>
          <w:tcPr>
            <w:tcW w:type="dxa" w:w="4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phát hành JWT, các dịch vụ khác xác minh bằng khóa bí mật dùng chung; vai trò IAM riêng cho từng dịch vụ</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Usability</w:t>
            </w:r>
          </w:p>
        </w:tc>
        <w:tc>
          <w:tcPr>
            <w:tcW w:type="dxa" w:w="2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 (bounded context) theo kênh</w:t>
            </w:r>
          </w:p>
        </w:tc>
        <w:tc>
          <w:tcPr>
            <w:tcW w:type="dxa" w:w="4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phiên mời nhận chuyến và phiên khách hàng có tập công cụ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Từ Bảng 3.11 có thể thấy bốn trên năm yêu cầu phi chức năng (hiệu năng, khả năng mở rộng, khả năng phục hồi, bảo mật) đòi hỏi tách tác nhân hội thoại khỏi các dịch vụ nghiệp vụ, tách các chức năng phụ trợ (tin nhắn, nhật ký cuộc gọi) khỏi nguồn dữ liệu chuyến để lỗi của chúng không lan sang luồng chính, và tập trung định danh vào một dịch vụ. Đây là các tính chất đặc trưng của kiến trúc microservices; Chương 4 lập luận lựa chọn này so với các phương án thay thế.</w:t>
      </w:r>
    </w:p>
    <w:p>
      <w:pPr>
        <w:pStyle w:val="Heading2"/>
        <w:spacing w:after="160" w:before="240" w:line="240" w:lineRule="auto"/>
        <w:ind w:firstLine="0"/>
        <w:jc w:val="both"/>
      </w:pPr>
      <w:r>
        <w:rPr>
          <w:rFonts w:ascii="Times New Roman" w:hAnsi="Times New Roman" w:eastAsia="Times New Roman"/>
          <w:b/>
          <w:i w:val="0"/>
          <w:color w:val="000000"/>
          <w:sz w:val="26"/>
        </w:rPr>
        <w:t>3.8.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nhóm FR-T, FR-C, FR-W, FR-I, FR-E, FR-F, FR-L, FR-A,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các chức năng dưới đây không được xây dựng trong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Nhắn tin nhóm giữa các tài xế:</w:t>
      </w:r>
      <w:r>
        <w:rPr>
          <w:rFonts w:ascii="Times New Roman" w:hAnsi="Times New Roman" w:eastAsia="Times New Roman"/>
          <w:b w:val="0"/>
          <w:color w:val="000000"/>
          <w:sz w:val="26"/>
        </w:rPr>
        <w:t xml:space="preserve"> không thuộc nghiệp vụ của một chuyến 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w:t>
      </w:r>
      <w:r>
        <w:rPr>
          <w:rFonts w:ascii="Times New Roman" w:hAnsi="Times New Roman" w:eastAsia="Times New Roman"/>
          <w:b w:val="0"/>
          <w:color w:val="000000"/>
          <w:sz w:val="26"/>
        </w:rPr>
        <w:t xml:space="preserve"> tài xế đã dùng ứng dụng bản đồ chuyên dụng; trợ lý chỉ gợi ý điểm dừng và tình trạng giao thông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ứng dụng của hãng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Huấn luyện lại mô hình nhận dạng hoặc tổng hợp giọng nói:</w:t>
      </w:r>
      <w:r>
        <w:rPr>
          <w:rFonts w:ascii="Times New Roman" w:hAnsi="Times New Roman" w:eastAsia="Times New Roman"/>
          <w:b w:val="0"/>
          <w:color w:val="000000"/>
          <w:sz w:val="26"/>
        </w:rPr>
        <w:t xml:space="preserve"> luận văn dùng mô hình có sẵn của nhà cung cấp (mục 1.5.3).</w:t>
      </w:r>
    </w:p>
    <w:p>
      <w:pPr>
        <w:pStyle w:val="Heading2"/>
        <w:spacing w:after="160" w:before="240" w:line="240" w:lineRule="auto"/>
        <w:ind w:firstLine="0"/>
        <w:jc w:val="both"/>
      </w:pPr>
      <w:r>
        <w:rPr>
          <w:rFonts w:ascii="Times New Roman" w:hAnsi="Times New Roman" w:eastAsia="Times New Roman"/>
          <w:b/>
          <w:i w:val="0"/>
          <w:color w:val="000000"/>
          <w:sz w:val="26"/>
        </w:rPr>
        <w:t>3.9.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là điều kiện đo được để kết luận một yêu cầu đã được đáp ứng. Bảng 3.12 nêu, cho từng nhóm yêu cầu, chỉ số cần đo, ngưỡng đạt và trường hợp sử dụng hoặc kịch bản dùng để đo. Chương 6 đánh giá hệ thống theo đúng các tiêu chí này.</w:t>
      </w:r>
    </w:p>
    <w:p>
      <w:pPr>
        <w:keepNext/>
        <w:spacing w:after="120" w:before="0" w:line="240" w:lineRule="auto"/>
        <w:ind w:firstLine="0"/>
        <w:jc w:val="center"/>
      </w:pPr>
      <w:r>
        <w:rPr>
          <w:rFonts w:ascii="Times New Roman" w:hAnsi="Times New Roman" w:eastAsia="Times New Roman"/>
          <w:b/>
          <w:i w:val="0"/>
          <w:color w:val="000000"/>
          <w:sz w:val="24"/>
        </w:rPr>
        <w:t>Bảng 3.12. Tiêu chí chấp nhận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8"/>
        <w:gridCol w:w="3267"/>
        <w:gridCol w:w="2070"/>
        <w:gridCol w:w="1991"/>
      </w:tblGrid>
      <w:tr>
        <w:trPr>
          <w:cantSplit/>
          <w:tblHeader w:val="true"/>
        </w:trPr>
        <w:tc>
          <w:tcPr>
            <w:tcW w:type="dxa" w:w="1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2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19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 / kịch bản</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chọn công cụ; tỷ lệ hoàn thành nghiệp vụ</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 kịch bản</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UC08</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trả lời đúng theo tài liệu hướng dẫn</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chính sách không có trong tài liệu</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 FR-A01</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vi khi im lặng; mở phiên bằng từ khóa</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 UC10</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phiên lỗi theo số phiên đồng thời</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SC-01 đến SC-03</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RS-01 đến RS-05</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và cấu hình</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được lập đúng từ bản ghi mẫu; hiển thị trên trang giám sát</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r>
        <w:trPr>
          <w:cantSplit/>
        </w:trPr>
        <w:tc>
          <w:tcPr>
            <w:tcW w:type="dxa" w:w="1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32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yên tĩnh so với nhiễu</w:t>
            </w:r>
          </w:p>
        </w:tc>
        <w:tc>
          <w:tcPr>
            <w:tcW w:type="dxa" w:w="2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19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xác định các yêu cầu chức năng theo nhóm nghiệp vụ, gắn với thành phần phụ trách và điều kiện chấp nhận; đặc tả năm yêu cầu phi chức năng theo ISO/IEC 25010 dưới dạng kịch bản đo được; nêu bốn ràng buộc kiến trúc; và đối chiếu các yêu cầu phi chức năng với tính chất của kiến trúc microservices. Chương 4 dùng các yêu cầu này làm động lực kiến trúc để lựa chọn và thiết kế hệ thống.</w:t>
      </w:r>
    </w:p>
    <w:p>
      <w:r>
        <w:br w:type="page"/>
      </w:r>
    </w:p>
    <w:p>
      <w:bookmarkStart w:id="11"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1"/>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phân chia hệ thống thành các dịch vụ, luồng hoạt động chính của từng dịch vụ dưới dạng sequence diagram, thiết kế xử lý một lượt hội thoại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4"/>
        <w:gridCol w:w="1004"/>
        <w:gridCol w:w="3651"/>
        <w:gridCol w:w="2727"/>
      </w:tblGrid>
      <w:tr>
        <w:trPr>
          <w:cantSplit/>
          <w:tblHeader w:val="true"/>
        </w:trPr>
        <w:tc>
          <w:tcPr>
            <w:tcW w:type="dxa" w:w="14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6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7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chuyến đi và liên lạc khách hàng thực hiện qua gọi công cụ, trên hai kênh WebRTC và SIP</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phù hợp từng loại phiên</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trong tác nhân</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4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36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2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Tác nhân hội thoại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ứng dụng khách hàng,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76"/>
        <w:gridCol w:w="2135"/>
        <w:gridCol w:w="1404"/>
        <w:gridCol w:w="2035"/>
        <w:gridCol w:w="1836"/>
      </w:tblGrid>
      <w:tr>
        <w:trPr>
          <w:cantSplit/>
          <w:tblHeader w:val="true"/>
        </w:trPr>
        <w:tc>
          <w:tcPr>
            <w:tcW w:type="dxa" w:w="13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Performance</w:t>
            </w:r>
          </w:p>
        </w:tc>
        <w:tc>
          <w:tcPr>
            <w:tcW w:type="dxa" w:w="2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Scalability</w:t>
            </w:r>
          </w:p>
        </w:tc>
        <w:tc>
          <w:tcPr>
            <w:tcW w:type="dxa" w:w="2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Resilience</w:t>
            </w:r>
          </w:p>
        </w:tc>
        <w:tc>
          <w:tcPr>
            <w:tcW w:type="dxa" w:w="2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Security</w:t>
            </w:r>
          </w:p>
        </w:tc>
        <w:tc>
          <w:tcPr>
            <w:tcW w:type="dxa" w:w="2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3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after="120" w:before="0" w:line="360" w:lineRule="auto"/>
        <w:ind w:firstLine="567"/>
        <w:jc w:val="both"/>
      </w:pPr>
      <w:r>
        <w:rPr>
          <w:rFonts w:ascii="Times New Roman" w:hAnsi="Times New Roman" w:eastAsia="Times New Roman"/>
          <w:b w:val="0"/>
          <w:i w:val="0"/>
          <w:color w:val="000000"/>
          <w:sz w:val="26"/>
        </w:rPr>
        <w:t>Hình 4.1 trình bày kiến trúc tổng thể của hệ thống theo quy ước sơ đồ kiến trúc AWS (in trên trang ngang).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Các luồng chính được đánh số ① đến ㉒, khớp Bảng 4.4 và các bước của sequence diagram ở mục 4.5; mũi tên nét đứt là luồng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852400" cy="5220045"/>
            <wp:docPr id="1" name="Picture 1"/>
            <wp:cNvGraphicFramePr>
              <a:graphicFrameLocks noChangeAspect="1"/>
            </wp:cNvGraphicFramePr>
            <a:graphic>
              <a:graphicData uri="http://schemas.openxmlformats.org/drawingml/2006/picture">
                <pic:pic>
                  <pic:nvPicPr>
                    <pic:cNvPr id="0" name="H4_1_aws_architecture.png"/>
                    <pic:cNvPicPr/>
                  </pic:nvPicPr>
                  <pic:blipFill>
                    <a:blip r:embed="rId13"/>
                    <a:stretch>
                      <a:fillRect/>
                    </a:stretch>
                  </pic:blipFill>
                  <pic:spPr>
                    <a:xfrm>
                      <a:off x="0" y="0"/>
                      <a:ext cx="8852400" cy="5220045"/>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hệ thống trên nền tảng AWS theo mô hình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ứng dụng khách hàng, trang quản trị điều hành và trang giám sát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tài xế và trợ lý (WebRTC), và quay số ra mạng điện thoại khi cần (SIP). Tác nhân hội thoại giọng nói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Kênh liên lạc,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lưu trạng thái phiên ngắn hạn của Dịch vụ Chuyến đi và Điều phối.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(hai mũi tên nét đứt không đánh số).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Ví dụ một yêu cầu đi qua các lớp.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và ứng dụng khách hàng, để cả hai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tài xế và trợ lý được lưu ở bảng call-records của Dịch vụ Nhật ký cuộc gọi.</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Tác nhân hội thoại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4.4 mô tả các luồng được đánh số trên Hình 4.1.</w:t>
      </w:r>
    </w:p>
    <w:p>
      <w:pPr>
        <w:keepNext/>
        <w:spacing w:after="120" w:before="0" w:line="240" w:lineRule="auto"/>
        <w:ind w:firstLine="0"/>
        <w:jc w:val="center"/>
      </w:pPr>
      <w:r>
        <w:rPr>
          <w:rFonts w:ascii="Times New Roman" w:hAnsi="Times New Roman" w:eastAsia="Times New Roman"/>
          <w:b/>
          <w:i w:val="0"/>
          <w:color w:val="000000"/>
          <w:sz w:val="24"/>
        </w:rPr>
        <w:t>Bảng 4.4. Các luồng chính trên Hình 4.1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3294"/>
        <w:gridCol w:w="1263"/>
        <w:gridCol w:w="2237"/>
        <w:gridCol w:w="151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32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5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Tác nhân hội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 (và ứng dụng khách hàng)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Kênh liên lạc → Twilio</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Kênh liên lạc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tin nhắn đến</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 cuộc gọi</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chuyến; giám sát tình trạng, nhật ký</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5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9"/>
        <w:gridCol w:w="1913"/>
        <w:gridCol w:w="1373"/>
        <w:gridCol w:w="1682"/>
        <w:gridCol w:w="1362"/>
        <w:gridCol w:w="1487"/>
      </w:tblGrid>
      <w:tr>
        <w:trPr>
          <w:cantSplit/>
          <w:tblHeader w:val="true"/>
        </w:trPr>
        <w:tc>
          <w:tcPr>
            <w:tcW w:type="dxa" w:w="96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19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3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4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CON-03</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cuộc gọi, nhắc việc</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NFR-02, NFR-03</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Kênh liên lạc</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sự kiện của nhà cung cấp thoại</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FR-O01; NFR-04</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nhật ký, báo cáo ngày</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 CON-04</w:t>
            </w:r>
          </w:p>
        </w:tc>
      </w:tr>
      <w:tr>
        <w:trPr>
          <w:cantSplit/>
        </w:trPr>
        <w:tc>
          <w:tcPr>
            <w:tcW w:type="dxa" w:w="9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giọng nói</w:t>
            </w:r>
          </w:p>
        </w:tc>
        <w:tc>
          <w:tcPr>
            <w:tcW w:type="dxa" w:w="19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STT – LLM kèm gọi công cụ – TTS</w:t>
            </w:r>
          </w:p>
        </w:tc>
        <w:tc>
          <w:tcPr>
            <w:tcW w:type="dxa" w:w="13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4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4.1.</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2" name="Picture 2"/>
            <wp:cNvGraphicFramePr>
              <a:graphicFrameLocks noChangeAspect="1"/>
            </wp:cNvGraphicFramePr>
            <a:graphic>
              <a:graphicData uri="http://schemas.openxmlformats.org/drawingml/2006/picture">
                <pic:pic>
                  <pic:nvPicPr>
                    <pic:cNvPr id="0" name="H4_S1_identity_login.png"/>
                    <pic:cNvPicPr/>
                  </pic:nvPicPr>
                  <pic:blipFill>
                    <a:blip r:embed="rId14"/>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4.2.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41"/>
        <w:gridCol w:w="2977"/>
        <w:gridCol w:w="212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9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9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2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3" name="Picture 3"/>
            <wp:cNvGraphicFramePr>
              <a:graphicFrameLocks noChangeAspect="1"/>
            </wp:cNvGraphicFramePr>
            <a:graphic>
              <a:graphicData uri="http://schemas.openxmlformats.org/drawingml/2006/picture">
                <pic:pic>
                  <pic:nvPicPr>
                    <pic:cNvPr id="0" name="H4_S2_voice_session.png"/>
                    <pic:cNvPicPr/>
                  </pic:nvPicPr>
                  <pic:blipFill>
                    <a:blip r:embed="rId15"/>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4.3.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105"/>
        <w:gridCol w:w="3056"/>
        <w:gridCol w:w="1880"/>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1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30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Tác nhân hội thoại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Ứng dụng tài xế</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Tác nhân hội thoại</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1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Ứng dụng tài xế</w:t>
            </w:r>
          </w:p>
        </w:tc>
        <w:tc>
          <w:tcPr>
            <w:tcW w:type="dxa" w:w="30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(Tác nhân hội thoại giọng nói)</w:t>
      </w:r>
    </w:p>
    <w:p>
      <w:pPr>
        <w:keepNext/>
        <w:spacing w:before="120" w:after="120"/>
        <w:jc w:val="center"/>
      </w:pPr>
      <w:r>
        <w:drawing>
          <wp:inline xmlns:a="http://schemas.openxmlformats.org/drawingml/2006/main" xmlns:pic="http://schemas.openxmlformats.org/drawingml/2006/picture">
            <wp:extent cx="5212800" cy="6120399"/>
            <wp:docPr id="4" name="Picture 4"/>
            <wp:cNvGraphicFramePr>
              <a:graphicFrameLocks noChangeAspect="1"/>
            </wp:cNvGraphicFramePr>
            <a:graphic>
              <a:graphicData uri="http://schemas.openxmlformats.org/drawingml/2006/picture">
                <pic:pic>
                  <pic:nvPicPr>
                    <pic:cNvPr id="0" name="H4_S3_voice_turn.png"/>
                    <pic:cNvPicPr/>
                  </pic:nvPicPr>
                  <pic:blipFill>
                    <a:blip r:embed="rId16"/>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4.4.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31"/>
        <w:gridCol w:w="2877"/>
        <w:gridCol w:w="2421"/>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Tác nhân hội thoại</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Nhà cung cấp STT</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Nhà cung cấp LLM</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Ứng dụng tài xế</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Tác nhân hội thoại</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thời gian chờ 8 giây</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đón không quá 1 000 m (mặc định); sai: 409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Tác nhân hội thoại</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Nhà cung cấp LLM, TTS</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Ứng dụng tài xế</w:t>
            </w:r>
          </w:p>
        </w:tc>
        <w:tc>
          <w:tcPr>
            <w:tcW w:type="dxa" w:w="2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4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5" name="Picture 5"/>
            <wp:cNvGraphicFramePr>
              <a:graphicFrameLocks noChangeAspect="1"/>
            </wp:cNvGraphicFramePr>
            <a:graphic>
              <a:graphicData uri="http://schemas.openxmlformats.org/drawingml/2006/picture">
                <pic:pic>
                  <pic:nvPicPr>
                    <pic:cNvPr id="0" name="H4_S4_trip_offer.png"/>
                    <pic:cNvPicPr/>
                  </pic:nvPicPr>
                  <pic:blipFill>
                    <a:blip r:embed="rId17"/>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4.5.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331"/>
        <w:gridCol w:w="2834"/>
        <w:gridCol w:w="187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33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18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điện thoại tài xế (qua Twilio)</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33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18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Kênh liên lạc)</w:t>
      </w:r>
    </w:p>
    <w:p>
      <w:pPr>
        <w:keepNext/>
        <w:spacing w:before="120" w:after="120"/>
        <w:jc w:val="center"/>
      </w:pPr>
      <w:r>
        <w:drawing>
          <wp:inline xmlns:a="http://schemas.openxmlformats.org/drawingml/2006/main" xmlns:pic="http://schemas.openxmlformats.org/drawingml/2006/picture">
            <wp:extent cx="5220000" cy="5160371"/>
            <wp:docPr id="6" name="Picture 6"/>
            <wp:cNvGraphicFramePr>
              <a:graphicFrameLocks noChangeAspect="1"/>
            </wp:cNvGraphicFramePr>
            <a:graphic>
              <a:graphicData uri="http://schemas.openxmlformats.org/drawingml/2006/picture">
                <pic:pic>
                  <pic:nvPicPr>
                    <pic:cNvPr id="0" name="H4_S5_customer_call.png"/>
                    <pic:cNvPicPr/>
                  </pic:nvPicPr>
                  <pic:blipFill>
                    <a:blip r:embed="rId18"/>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123"/>
        <w:gridCol w:w="2998"/>
        <w:gridCol w:w="1921"/>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1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9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19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Tác nhân hội thoại</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Kênh liên lạc</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 → Twilio</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Kênh liên lạc</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31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 → DynamoDB channel-events</w:t>
            </w:r>
          </w:p>
        </w:tc>
        <w:tc>
          <w:tcPr>
            <w:tcW w:type="dxa" w:w="29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19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7" name="Picture 7"/>
            <wp:cNvGraphicFramePr>
              <a:graphicFrameLocks noChangeAspect="1"/>
            </wp:cNvGraphicFramePr>
            <a:graphic>
              <a:graphicData uri="http://schemas.openxmlformats.org/drawingml/2006/picture">
                <pic:pic>
                  <pic:nvPicPr>
                    <pic:cNvPr id="0" name="H4_S6_call_records.png"/>
                    <pic:cNvPicPr/>
                  </pic:nvPicPr>
                  <pic:blipFill>
                    <a:blip r:embed="rId19"/>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535"/>
        <w:gridCol w:w="2588"/>
        <w:gridCol w:w="191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5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19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Nhật ký cuộc gọi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Tác nhân hội thoại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 Dịch vụ Chuyến đi và Điều phối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35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Tác nhân hội thoại</w:t>
            </w:r>
          </w:p>
        </w:tc>
        <w:tc>
          <w:tcPr>
            <w:tcW w:type="dxa" w:w="25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19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8" name="Picture 8"/>
            <wp:cNvGraphicFramePr>
              <a:graphicFrameLocks noChangeAspect="1"/>
            </wp:cNvGraphicFramePr>
            <a:graphic>
              <a:graphicData uri="http://schemas.openxmlformats.org/drawingml/2006/picture">
                <pic:pic>
                  <pic:nvPicPr>
                    <pic:cNvPr id="0" name="H4_S7_daily_report.png"/>
                    <pic:cNvPicPr/>
                  </pic:nvPicPr>
                  <pic:blipFill>
                    <a:blip r:embed="rId20"/>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xử lý một lượt hội thoại</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4.9).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9" name="Picture 9"/>
            <wp:cNvGraphicFramePr>
              <a:graphicFrameLocks noChangeAspect="1"/>
            </wp:cNvGraphicFramePr>
            <a:graphic>
              <a:graphicData uri="http://schemas.openxmlformats.org/drawingml/2006/picture">
                <pic:pic>
                  <pic:nvPicPr>
                    <pic:cNvPr id="0" name="H4_2_turn_pipelin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16"/>
        <w:gridCol w:w="3569"/>
        <w:gridCol w:w="3102"/>
      </w:tblGrid>
      <w:tr>
        <w:trPr>
          <w:cantSplit/>
          <w:tblHeader w:val="true"/>
        </w:trPr>
        <w:tc>
          <w:tcPr>
            <w:tcW w:type="dxa" w:w="21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356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1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1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35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1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1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35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1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1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35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1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1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356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1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của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3.2):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14"/>
        <w:gridCol w:w="5537"/>
        <w:gridCol w:w="1836"/>
      </w:tblGrid>
      <w:tr>
        <w:trPr>
          <w:cantSplit/>
          <w:tblHeader w:val="true"/>
        </w:trPr>
        <w:tc>
          <w:tcPr>
            <w:tcW w:type="dxa" w:w="14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55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4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55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trải nghiệm trên ứng dụng tài xế</w:t>
      </w:r>
    </w:p>
    <w:p>
      <w:pPr>
        <w:spacing w:after="120" w:before="0" w:line="360" w:lineRule="auto"/>
        <w:ind w:firstLine="567"/>
        <w:jc w:val="both"/>
      </w:pPr>
      <w:r>
        <w:rPr>
          <w:rFonts w:ascii="Times New Roman" w:hAnsi="Times New Roman" w:eastAsia="Times New Roman"/>
          <w:b w:val="0"/>
          <w:i w:val="0"/>
          <w:color w:val="000000"/>
          <w:sz w:val="26"/>
        </w:rPr>
        <w:t>Ở mức thiết kế, ứng dụng tài xế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Nút mở trợ lý dễ thấy, thể hiện rõ trạng thái đang kết nối, đang nghe, đang xử lý và đang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Lời thoại hiển thị đồng bộ với lời nói để tài xế xem lại khi dừng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Từ khóa đánh thức chỉ để mở phiên, không thay thế khâu hiểu ngôn ngữ của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Cài đặt chế độ gọi khách mặc định để trợ lý không phải hỏi lại mỗi lần khi đang lái.</w:t>
      </w:r>
    </w:p>
    <w:p>
      <w:pPr>
        <w:spacing w:after="120" w:before="0" w:line="360" w:lineRule="auto"/>
        <w:ind w:firstLine="567"/>
        <w:jc w:val="both"/>
      </w:pPr>
      <w:r>
        <w:rPr>
          <w:rFonts w:ascii="Times New Roman" w:hAnsi="Times New Roman" w:eastAsia="Times New Roman"/>
          <w:b w:val="0"/>
          <w:i w:val="0"/>
          <w:color w:val="000000"/>
          <w:sz w:val="26"/>
        </w:rPr>
        <w:t>Các thiết kế này phục vụ NFR-01.</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4.16 liên kết từng yêu cầu phi chức năng (và yêu cầu giám sát vận hành) với quyết định thiết kế và vị trí trên Hình 4.1,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4.16.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3781"/>
        <w:gridCol w:w="1683"/>
        <w:gridCol w:w="1757"/>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16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 trên Hình 4.1</w:t>
            </w:r>
          </w:p>
        </w:tc>
        <w:tc>
          <w:tcPr>
            <w:tcW w:type="dxa" w:w="17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Usability</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Performance</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Scalability</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(ECS), các Lambda</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Resilience</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Security</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7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16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7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trình bày kiến trúc tổng thể trên AWS với các luồng được đánh số, phân chia hệ thống thành các dịch vụ theo năng lực nghiệp vụ, mô tả luồng hoạt động chính của từng dịch vụ bằng bảy sequence diagram, thiết kế xử lý một lượt hội thoại và các cơ chế bảo đảm khả năng phục hồi, bảo mật và khả năng quan sát. Chương 5 trình bày hiện thực các thiết kế này.</w:t>
      </w:r>
    </w:p>
    <w:p>
      <w:r>
        <w:br w:type="page"/>
      </w:r>
    </w:p>
    <w:p>
      <w:bookmarkStart w:id="12"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30"/>
        <w:gridCol w:w="3548"/>
        <w:gridCol w:w="3710"/>
      </w:tblGrid>
      <w:tr>
        <w:trPr>
          <w:cantSplit/>
          <w:tblHeader w:val="true"/>
        </w:trPr>
        <w:tc>
          <w:tcPr>
            <w:tcW w:type="dxa" w:w="15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5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37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ứng dụng khách hàng, trang quản trị</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STT, LLM kèm gọi công cụ, TTS</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5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37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923"/>
        <w:gridCol w:w="4778"/>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9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47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giọng nói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9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47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tác nhân hội thoại giọng nói</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khách hàng.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71"/>
        <w:gridCol w:w="6271"/>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Kênh liên lạc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Kênh liên lạc (services/smsService.ts).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Kênh liên lạc,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Kênh liên lạc:</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60400" cy="5757774"/>
            <wp:docPr id="10" name="Picture 10"/>
            <wp:cNvGraphicFramePr>
              <a:graphicFrameLocks noChangeAspect="1"/>
            </wp:cNvGraphicFramePr>
            <a:graphic>
              <a:graphicData uri="http://schemas.openxmlformats.org/drawingml/2006/picture">
                <pic:pic>
                  <pic:nvPicPr>
                    <pic:cNvPr id="0" name="landing.jpg"/>
                    <pic:cNvPicPr/>
                  </pic:nvPicPr>
                  <pic:blipFill>
                    <a:blip r:embed="rId2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60400" cy="5757774"/>
            <wp:docPr id="11" name="Picture 11"/>
            <wp:cNvGraphicFramePr>
              <a:graphicFrameLocks noChangeAspect="1"/>
            </wp:cNvGraphicFramePr>
            <a:graphic>
              <a:graphicData uri="http://schemas.openxmlformats.org/drawingml/2006/picture">
                <pic:pic>
                  <pic:nvPicPr>
                    <pic:cNvPr id="0" name="login.jpg"/>
                    <pic:cNvPicPr/>
                  </pic:nvPicPr>
                  <pic:blipFill>
                    <a:blip r:embed="rId2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trạng thái hoạt động và điểm đón, trả của chuyến (Hình 5.3). Khi mở trợ lý, ứng dụng xin token thoại, tham gia phòng hội thoại (features/home/stores/voiceSessionStore.ts) và hiển thị biểu tượng trợ lý thay đổi theo trạng thái phiên (Hình 5.4).</w:t>
      </w:r>
    </w:p>
    <w:p>
      <w:pPr>
        <w:keepNext/>
        <w:spacing w:before="120" w:after="120"/>
        <w:jc w:val="center"/>
      </w:pPr>
      <w:r>
        <w:drawing>
          <wp:inline xmlns:a="http://schemas.openxmlformats.org/drawingml/2006/main" xmlns:pic="http://schemas.openxmlformats.org/drawingml/2006/picture">
            <wp:extent cx="2660400" cy="5757774"/>
            <wp:docPr id="12" name="Picture 12"/>
            <wp:cNvGraphicFramePr>
              <a:graphicFrameLocks noChangeAspect="1"/>
            </wp:cNvGraphicFramePr>
            <a:graphic>
              <a:graphicData uri="http://schemas.openxmlformats.org/drawingml/2006/picture">
                <pic:pic>
                  <pic:nvPicPr>
                    <pic:cNvPr id="0" name="map.jpg"/>
                    <pic:cNvPicPr/>
                  </pic:nvPicPr>
                  <pic:blipFill>
                    <a:blip r:embed="rId2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60400" cy="5757774"/>
            <wp:docPr id="13" name="Picture 13"/>
            <wp:cNvGraphicFramePr>
              <a:graphicFrameLocks noChangeAspect="1"/>
            </wp:cNvGraphicFramePr>
            <a:graphic>
              <a:graphicData uri="http://schemas.openxmlformats.org/drawingml/2006/picture">
                <pic:pic>
                  <pic:nvPicPr>
                    <pic:cNvPr id="0" name="trolyczen1.jpg"/>
                    <pic:cNvPicPr/>
                  </pic:nvPicPr>
                  <pic:blipFill>
                    <a:blip r:embed="rId2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với biểu tượng trợ lý ở trạng thái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60400" cy="5757774"/>
            <wp:docPr id="14" name="Picture 14"/>
            <wp:cNvGraphicFramePr>
              <a:graphicFrameLocks noChangeAspect="1"/>
            </wp:cNvGraphicFramePr>
            <a:graphic>
              <a:graphicData uri="http://schemas.openxmlformats.org/drawingml/2006/picture">
                <pic:pic>
                  <pic:nvPicPr>
                    <pic:cNvPr id="0" name="trolyaidangketnoi.jpg"/>
                    <pic:cNvPicPr/>
                  </pic:nvPicPr>
                  <pic:blipFill>
                    <a:blip r:embed="rId2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và thông tin chuyến bằng giọng nói</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15" name="Picture 15"/>
            <wp:cNvGraphicFramePr>
              <a:graphicFrameLocks noChangeAspect="1"/>
            </wp:cNvGraphicFramePr>
            <a:graphic>
              <a:graphicData uri="http://schemas.openxmlformats.org/drawingml/2006/picture">
                <pic:pic>
                  <pic:nvPicPr>
                    <pic:cNvPr id="0" name="baocaongay.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16" name="Picture 16"/>
            <wp:cNvGraphicFramePr>
              <a:graphicFrameLocks noChangeAspect="1"/>
            </wp:cNvGraphicFramePr>
            <a:graphic>
              <a:graphicData uri="http://schemas.openxmlformats.org/drawingml/2006/picture">
                <pic:pic>
                  <pic:nvPicPr>
                    <pic:cNvPr id="0" name="baocaongay_xuhuong.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và chế độ gọi khách mặc định.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3050"/>
        <w:gridCol w:w="2293"/>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30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29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30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2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và ứng dụng web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Kênh liên lạc,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70"/>
        <w:gridCol w:w="2806"/>
        <w:gridCol w:w="3011"/>
      </w:tblGrid>
      <w:tr>
        <w:trPr>
          <w:cantSplit/>
          <w:tblHeader w:val="true"/>
        </w:trPr>
        <w:tc>
          <w:tcPr>
            <w:tcW w:type="dxa" w:w="29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LiveKit Cloud</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2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ứng dụng tài xế, hạ tầng dạng mã trên AWS và bảng đối chiếu thiết kế với hiện thực. Chương 6 đánh giá nguyên mẫu theo từng yêu cầu đã đặc tả ở Chương 3.</w:t>
      </w:r>
    </w:p>
    <w:p>
      <w:r>
        <w:br w:type="page"/>
      </w:r>
    </w:p>
    <w:p>
      <w:bookmarkStart w:id="13"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3"/>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bằng kịch bản, chỉ số và ngưỡng đã xác định trước (Bảng 3.12).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spacing w:after="120" w:before="0" w:line="360" w:lineRule="auto"/>
        <w:ind w:firstLine="567"/>
        <w:jc w:val="both"/>
      </w:pPr>
      <w:r>
        <w:rPr>
          <w:rFonts w:ascii="Times New Roman" w:hAnsi="Times New Roman" w:eastAsia="Times New Roman"/>
          <w:b w:val="0"/>
          <w:i w:val="0"/>
          <w:color w:val="000000"/>
          <w:sz w:val="26"/>
        </w:rPr>
        <w:t>Ghi chú liêm chính số liệu: Số liệu độ trễ, tỷ lệ lỗi từ và độ chính xác gọi công cụ được trích từ nhật ký phiên thật (trường room) và bộ kiểm thử tự động trong cửa sổ hai ngày 05 và 06 tháng 9 năm 2026. Số liệu khả năng mở rộng và khả năng phục hồi được thu từ môi trường mô phỏng cục bộ (mục 6.2.2). Các ô chưa có số liệu được đánh dấu 「—」, không suy đoán giá trị.</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83"/>
        <w:gridCol w:w="884"/>
        <w:gridCol w:w="2133"/>
        <w:gridCol w:w="2146"/>
        <w:gridCol w:w="1464"/>
        <w:gridCol w:w="676"/>
      </w:tblGrid>
      <w:tr>
        <w:trPr>
          <w:cantSplit/>
          <w:tblHeader w:val="true"/>
        </w:trPr>
        <w:tc>
          <w:tcPr>
            <w:tcW w:type="dxa" w:w="14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21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Performance</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Usability</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Scalability</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Resilience</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Security</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1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21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98"/>
        <w:gridCol w:w="4085"/>
        <w:gridCol w:w="2804"/>
      </w:tblGrid>
      <w:tr>
        <w:trPr>
          <w:cantSplit/>
          <w:tblHeader w:val="true"/>
        </w:trPr>
        <w:tc>
          <w:tcPr>
            <w:tcW w:type="dxa" w:w="18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4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28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Ứng dụng tài xế</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hội thoại</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Dịch vụ backend</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Truyền thông</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Mô hình AI</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Dữ liệu</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8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 tự động</w:t>
            </w:r>
          </w:p>
        </w:tc>
        <w:tc>
          <w:tcPr>
            <w:tcW w:type="dxa" w:w="4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28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môi trường mô phỏng cục bộ, trong đó mỗi thành phần AWS được thay bằng một thành phần tương đương (Bảng 6.3). Nhà cung cấp STT, LLM, TTS được thay bằng bộ giả lập có độ trễ cấu hình được để kết quả phản ánh tính chất kiến trúc, không phụ thuộc biến động của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AWS sang môi trường mô phỏng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94"/>
        <w:gridCol w:w="5494"/>
      </w:tblGrid>
      <w:tr>
        <w:trPr>
          <w:cantSplit/>
          <w:tblHeader w:val="true"/>
        </w:trPr>
        <w:tc>
          <w:tcPr>
            <w:tcW w:type="dxa" w:w="32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mô phỏng</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từng dịch vụ</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Tiến trình Node.js của từng dịch vụ, mỗi dịch vụ một cổng</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Local hoặc chế độ lưu trữ cục bộ của dịch vụ</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với DesiredCount = N</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 tiến trình tác nhân cùng đăng ký vào một máy chủ LiveKit</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chạy ở chế độ phát triển</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có độ trễ và tỷ lệ lỗi cấu hình được</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có thể cấu hình trả lỗi</w:t>
            </w:r>
          </w:p>
        </w:tc>
      </w:tr>
      <w:tr>
        <w:trPr>
          <w:cantSplit/>
        </w:trPr>
        <w:tc>
          <w:tcPr>
            <w:tcW w:type="dxa" w:w="32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mạng giữa các dịch vụ</w:t>
            </w:r>
          </w:p>
        </w:tc>
        <w:tc>
          <w:tcPr>
            <w:tcW w:type="dxa" w:w="5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toxiproxy chèn độ trễ, ngắt kết nối, lỗi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gồm k6 (kiểm thử tải API) và LiveKit CLI (tạo nhiều người tham gia giả lập phát âm thanh vào phòng).</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3.8;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17" name="Picture 17"/>
            <wp:cNvGraphicFramePr>
              <a:graphicFrameLocks noChangeAspect="1"/>
            </wp:cNvGraphicFramePr>
            <a:graphic>
              <a:graphicData uri="http://schemas.openxmlformats.org/drawingml/2006/picture">
                <pic:pic>
                  <pic:nvPicPr>
                    <pic:cNvPr id="0" name="H6_1_latency.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(luồng xử lý đơn và câu đệm)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727"/>
        <w:gridCol w:w="812"/>
        <w:gridCol w:w="812"/>
        <w:gridCol w:w="812"/>
        <w:gridCol w:w="812"/>
        <w:gridCol w:w="812"/>
      </w:tblGrid>
      <w:tr>
        <w:trPr>
          <w:cantSplit/>
          <w:tblHeader w:val="true"/>
        </w:trPr>
        <w:tc>
          <w:tcPr>
            <w:tcW w:type="dxa" w:w="47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sử dụng</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có câu đệm</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4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4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 Cập nhật tiến độ</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4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47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993"/>
        <w:gridCol w:w="1572"/>
        <w:gridCol w:w="926"/>
        <w:gridCol w:w="2297"/>
      </w:tblGrid>
      <w:tr>
        <w:trPr>
          <w:cantSplit/>
          <w:tblHeader w:val="true"/>
        </w:trPr>
        <w:tc>
          <w:tcPr>
            <w:tcW w:type="dxa" w:w="399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9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9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9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r>
          </w:p>
        </w:tc>
        <w:tc>
          <w:tcPr>
            <w:tcW w:type="dxa" w:w="9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r>
          </w:p>
        </w:tc>
        <w:tc>
          <w:tcPr>
            <w:tcW w:type="dxa" w:w="2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18" name="Picture 18"/>
            <wp:cNvGraphicFramePr>
              <a:graphicFrameLocks noChangeAspect="1"/>
            </wp:cNvGraphicFramePr>
            <a:graphic>
              <a:graphicData uri="http://schemas.openxmlformats.org/drawingml/2006/picture">
                <pic:pic>
                  <pic:nvPicPr>
                    <pic:cNvPr id="0" name="H6_2_wer.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39"/>
        <w:gridCol w:w="2938"/>
        <w:gridCol w:w="1712"/>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khả năng sử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142"/>
        <w:gridCol w:w="1408"/>
        <w:gridCol w:w="1150"/>
        <w:gridCol w:w="3425"/>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1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1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42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1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(mẫu)</w:t>
            </w:r>
          </w:p>
        </w:tc>
        <w:tc>
          <w:tcPr>
            <w:tcW w:type="dxa" w:w="3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1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1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1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(mẫu)</w:t>
            </w:r>
          </w:p>
        </w:tc>
        <w:tc>
          <w:tcPr>
            <w:tcW w:type="dxa" w:w="3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1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4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trên môi trường mô phỏng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34"/>
        <w:gridCol w:w="1582"/>
        <w:gridCol w:w="812"/>
        <w:gridCol w:w="812"/>
        <w:gridCol w:w="812"/>
        <w:gridCol w:w="812"/>
        <w:gridCol w:w="812"/>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5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 (giây)</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 (giây)</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Mức tăng P95 so với 1 phiên</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phiên lỗi</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SC-​01</w:t>
            </w:r>
          </w:p>
        </w:tc>
        <w:tc>
          <w:tcPr>
            <w:tcW w:type="dxa" w:w="2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5, 10, 20 phiên đồng thời</w:t>
            </w:r>
          </w:p>
        </w:tc>
        <w:tc>
          <w:tcPr>
            <w:tcW w:type="dxa" w:w="15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bản sao tác nhân</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SC-​02</w:t>
            </w:r>
          </w:p>
        </w:tc>
        <w:tc>
          <w:tcPr>
            <w:tcW w:type="dxa" w:w="2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 phiên đồng thời</w:t>
            </w:r>
          </w:p>
        </w:tc>
        <w:tc>
          <w:tcPr>
            <w:tcW w:type="dxa" w:w="15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 và 4 bản sao tác nhân</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tăng dần 10 đến 200 người dùng ảo trên API ngữ cảnh và cập nhật chuyến</w:t>
            </w:r>
          </w:p>
        </w:tc>
        <w:tc>
          <w:tcPr>
            <w:tcW w:type="dxa" w:w="15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keepNext/>
        <w:spacing w:after="120" w:before="0" w:line="240" w:lineRule="auto"/>
        <w:ind w:firstLine="0"/>
        <w:jc w:val="center"/>
      </w:pPr>
      <w:r>
        <w:rPr>
          <w:rFonts w:ascii="Times New Roman" w:hAnsi="Times New Roman" w:eastAsia="Times New Roman"/>
          <w:b/>
          <w:i w:val="0"/>
          <w:color w:val="000000"/>
          <w:sz w:val="24"/>
        </w:rPr>
        <w:t>Bảng 6.12. Kết quả tiêm lỗi trên môi trường mô phỏng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614"/>
        <w:gridCol w:w="2665"/>
        <w:gridCol w:w="812"/>
        <w:gridCol w:w="1073"/>
        <w:gridCol w:w="812"/>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6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26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phiên duy trì</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 bổ sung</w:t>
            </w:r>
          </w:p>
        </w:tc>
        <w:tc>
          <w:tcPr>
            <w:tcW w:type="dxa" w:w="8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6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Dịch vụ Nhật ký cuộc gọi giữa phiên</w:t>
            </w:r>
          </w:p>
        </w:tc>
        <w:tc>
          <w:tcPr>
            <w:tcW w:type="dxa" w:w="26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tiếp tục; bản ghi được ghi vào nhật ký</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6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lỗi 5xx hoặc quá thời gian chờ</w:t>
            </w:r>
          </w:p>
        </w:tc>
        <w:tc>
          <w:tcPr>
            <w:tcW w:type="dxa" w:w="26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thông báo không thực hiện được; phiên tiếp tục</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6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một bản sao tác nhân khi đang có phiên</w:t>
            </w:r>
          </w:p>
        </w:tc>
        <w:tc>
          <w:tcPr>
            <w:tcW w:type="dxa" w:w="26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khôi phục: 「—」</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6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 trả lỗi</w:t>
            </w:r>
          </w:p>
        </w:tc>
        <w:tc>
          <w:tcPr>
            <w:tcW w:type="dxa" w:w="26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thông báo không gọi được</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6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hoặc TTS chính lỗi</w:t>
            </w:r>
          </w:p>
        </w:tc>
        <w:tc>
          <w:tcPr>
            <w:tcW w:type="dxa" w:w="26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nhà cung cấp dự phòng; lượt vẫn được phản hồi</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tăng thêm: 「—」</w:t>
            </w:r>
          </w:p>
        </w:tc>
        <w:tc>
          <w:tcPr>
            <w:tcW w:type="dxa" w:w="8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Trong khi chờ đợt tiêm lỗi có kiểm soát, nhật ký phát triển đã ghi nhận một trường hợp lỗi thật tương ứng kịch bản RS-02: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(cập nhật trạng thái, báo khách không có mặt, hỏi thu nhập, đặt nhắc việc) trong cùng phiên. Quan sát này mới là một mẫu, chưa thay thế được Bảng 6.12.</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6.13.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989"/>
        <w:gridCol w:w="1478"/>
        <w:gridCol w:w="1150"/>
        <w:gridCol w:w="3508"/>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4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1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5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kiểm tra lại: một số dòng nhật ký của tác nhân ghi số điện thoại khi đăng ký phiên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4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1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(mẫu)</w:t>
            </w:r>
          </w:p>
        </w:tc>
        <w:tc>
          <w:tcPr>
            <w:tcW w:type="dxa" w:w="35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và giám sát vận hành qua trường hợp kiểm thử</w:t>
      </w:r>
    </w:p>
    <w:p>
      <w:pPr>
        <w:keepNext/>
        <w:spacing w:after="120" w:before="0" w:line="240" w:lineRule="auto"/>
        <w:ind w:firstLine="0"/>
        <w:jc w:val="center"/>
      </w:pPr>
      <w:r>
        <w:rPr>
          <w:rFonts w:ascii="Times New Roman" w:hAnsi="Times New Roman" w:eastAsia="Times New Roman"/>
          <w:b/>
          <w:i w:val="0"/>
          <w:color w:val="000000"/>
          <w:sz w:val="24"/>
        </w:rPr>
        <w:t>Bảng 6.14.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7"/>
        <w:gridCol w:w="3825"/>
        <w:gridCol w:w="2516"/>
        <w:gridCol w:w="819"/>
      </w:tblGrid>
      <w:tr>
        <w:trPr>
          <w:cantSplit/>
          <w:tblHeader w:val="true"/>
        </w:trPr>
        <w:tc>
          <w:tcPr>
            <w:tcW w:type="dxa" w:w="16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82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81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6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82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81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Kết quả đạt trường hợp kiểm thử chứng minh luồng khách hàng hoạt động trong phạm vi đã thiết kế, không suy ra mức hài lòng của khách hàng thật.</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6.15. Tổng hợp kết quả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7"/>
        <w:gridCol w:w="4410"/>
        <w:gridCol w:w="1871"/>
      </w:tblGrid>
      <w:tr>
        <w:trPr>
          <w:cantSplit/>
          <w:tblHeader w:val="true"/>
        </w:trPr>
        <w:tc>
          <w:tcPr>
            <w:tcW w:type="dxa" w:w="25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44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Performance</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P95 = 3,75 giây; thiết kế hiện hành: 「—」</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đạt ở đợt đo 05–06/09; chờ đo lại</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7,3% (nhiễu)</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(tính đúng chức năng)</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 88% đúng công cụ, ≈ 77% hoàn thành lần đầu</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Usability</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5/5 tiêu chí đạt</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Scalability</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số liệu</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Resilience</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số liệu</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Security</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1 mục cần kiểm tra lại</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đạt</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25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44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 chỉ số độ trễ có từ ngày triển khai chỉ số phiên</w:t>
            </w:r>
          </w:p>
        </w:tc>
        <w:tc>
          <w:tcPr>
            <w:tcW w:type="dxa" w:w="1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(kiến trúc, khả năng mở rộng và khả năng phục hồi). 「—」 Kết luận được rút ra sau khi có số liệu Bảng 6.11 và Bảng 6.12.</w:t>
      </w:r>
    </w:p>
    <w:p>
      <w:pPr>
        <w:spacing w:after="120" w:before="0" w:line="360" w:lineRule="auto"/>
        <w:ind w:firstLine="567"/>
        <w:jc w:val="both"/>
      </w:pPr>
      <w:r>
        <w:rPr>
          <w:rFonts w:ascii="Times New Roman" w:hAnsi="Times New Roman" w:eastAsia="Times New Roman"/>
          <w:b w:val="0"/>
          <w:i w:val="0"/>
          <w:color w:val="000000"/>
          <w:sz w:val="26"/>
        </w:rPr>
        <w:t>RQ2 (độ trễ). Trên 341 lượt của đợt đo 05–06/09/2026, luồng đầy đủ qua LLM chưa đạt ngưỡng (P95 = 3,75 giây), điểm nghẽn chính là thời gian LLM sinh token đầu (P95 ≈ 2,5 giây). Thiết kế hiện hành đưa mọi lượt qua LLM để bảo đảm tính đúng nghiệp vụ và dùng câu đệm để giảm cảm nhận chờ; hướng cải thiện là rút gọn lời nhắc hệ thống, giảm số vòng gọi công cụ hoặc dùng mô hình có thời gian sinh token đầu thấp hơn. Kết luận cuối cùng cho RQ2 phụ thuộc số liệu Bảng 6.6.</w:t>
      </w:r>
    </w:p>
    <w:p>
      <w:pPr>
        <w:spacing w:after="120" w:before="0" w:line="360" w:lineRule="auto"/>
        <w:ind w:firstLine="567"/>
        <w:jc w:val="both"/>
      </w:pPr>
      <w:r>
        <w:rPr>
          <w:rFonts w:ascii="Times New Roman" w:hAnsi="Times New Roman" w:eastAsia="Times New Roman"/>
          <w:b w:val="0"/>
          <w:i w:val="0"/>
          <w:color w:val="000000"/>
          <w:sz w:val="26"/>
        </w:rPr>
        <w:t>RQ3 (nhận dạng giọng nói). Tỷ lệ lỗi từ tăng từ 3,1% lên 7,3% khi có nhiễu mô phỏng khoang xe; nhiễu làm tăng lỗi thay từ mang nghĩa và sai chữ số trong địa chỉ.</w:t>
      </w:r>
    </w:p>
    <w:p>
      <w:pPr>
        <w:spacing w:after="120" w:before="0" w:line="360" w:lineRule="auto"/>
        <w:ind w:firstLine="567"/>
        <w:jc w:val="both"/>
      </w:pPr>
      <w:r>
        <w:rPr>
          <w:rFonts w:ascii="Times New Roman" w:hAnsi="Times New Roman" w:eastAsia="Times New Roman"/>
          <w:b w:val="0"/>
          <w:i w:val="0"/>
          <w:color w:val="000000"/>
          <w:sz w:val="26"/>
        </w:rPr>
        <w:t>RQ4 (gọi công cụ, hoàn thành nghiệp vụ). Khoảng 88% lượt chọn đúng công cụ và 77% hoàn thành đúng ngay lần đầu trên mẫu 39 lượt. Các nhóm lỗi chính là chọn sai thao tác với phát ngôn không rõ ý định, sai phạm vi tham số, câu nói khó nghe khi lái và chưa thực hiện thao tác sau khi xác nhận bằng lời.</w:t>
      </w:r>
    </w:p>
    <w:p>
      <w:pPr>
        <w:pStyle w:val="Heading2"/>
        <w:spacing w:after="160" w:before="240" w:line="240" w:lineRule="auto"/>
        <w:ind w:firstLine="0"/>
        <w:jc w:val="both"/>
      </w:pPr>
      <w:r>
        <w:rPr>
          <w:rFonts w:ascii="Times New Roman" w:hAnsi="Times New Roman" w:eastAsia="Times New Roman"/>
          <w:b/>
          <w:i w:val="0"/>
          <w:color w:val="000000"/>
          <w:sz w:val="26"/>
        </w:rPr>
        <w:t>6.13. Hạn chế và yếu tố ảnh hưởng đến độ tin cậy của kết luận</w:t>
      </w:r>
    </w:p>
    <w:p>
      <w:pPr>
        <w:spacing w:after="120" w:before="0" w:line="360" w:lineRule="auto"/>
        <w:ind w:firstLine="567"/>
        <w:jc w:val="both"/>
      </w:pPr>
      <w:r>
        <w:rPr>
          <w:rFonts w:ascii="Times New Roman" w:hAnsi="Times New Roman" w:eastAsia="Times New Roman"/>
          <w:b w:val="0"/>
          <w:i w:val="0"/>
          <w:color w:val="000000"/>
          <w:sz w:val="26"/>
        </w:rPr>
        <w:t>Điều kiện thử nghiệm thuận lợi hơn thực tế. Người đọc kịch bản biết trước câu nói nên phát âm trôi chảy hơn tài xế thật phải ứng biến;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Môi trường mô phỏng cho thử tải và tiêm lỗi. Thử nghiệm khả năng mở rộng và khả năng phục hồi chạy trên một máy, không có độ trễ mạng thật giữa các vùng, nhà cung cấp AI được giả lập. Kết quả chứng minh tính chất kiến trúc (mở rộng theo chiều ngang, cô lập lỗi), không phải năng lực tải của hệ thống trên AWS thực tế.</w:t>
      </w:r>
    </w:p>
    <w:p>
      <w:pPr>
        <w:spacing w:after="120" w:before="0" w:line="360" w:lineRule="auto"/>
        <w:ind w:firstLine="567"/>
        <w:jc w:val="both"/>
      </w:pPr>
      <w:r>
        <w:rPr>
          <w:rFonts w:ascii="Times New Roman" w:hAnsi="Times New Roman" w:eastAsia="Times New Roman"/>
          <w:b w:val="0"/>
          <w:i w:val="0"/>
          <w:color w:val="000000"/>
          <w:sz w:val="26"/>
        </w:rPr>
        <w:t>Chỉ số không bao phủ mọi khái niệm. Độ trễ phản hồi đo trải nghiệm hội thoại, không đo an toàn giao thông thực địa; danh mục kiểm tra hành vi không thay thế khảo sát mức hài lòng dài hạn.</w:t>
      </w:r>
    </w:p>
    <w:p>
      <w:pPr>
        <w:spacing w:after="120" w:before="0" w:line="360" w:lineRule="auto"/>
        <w:ind w:firstLine="567"/>
        <w:jc w:val="both"/>
      </w:pPr>
      <w:r>
        <w:rPr>
          <w:rFonts w:ascii="Times New Roman" w:hAnsi="Times New Roman" w:eastAsia="Times New Roman"/>
          <w:b w:val="0"/>
          <w:i w:val="0"/>
          <w:color w:val="000000"/>
          <w:sz w:val="26"/>
        </w:rPr>
        <w:t>Cỡ mẫu nhỏ. Tỷ lệ lỗi từ đo với một người đọc; độ chính xác gọi công cụ đánh giá trên khoảng 39 lượt bởi một người. Luận văn nêu rõ cỡ mẫu và tránh kết luận tuyệt đối.</w:t>
      </w:r>
    </w:p>
    <w:p>
      <w:pPr>
        <w:spacing w:after="120" w:before="0" w:line="360" w:lineRule="auto"/>
        <w:ind w:firstLine="567"/>
        <w:jc w:val="both"/>
      </w:pPr>
      <w:r>
        <w:rPr>
          <w:rFonts w:ascii="Times New Roman" w:hAnsi="Times New Roman" w:eastAsia="Times New Roman"/>
          <w:b w:val="0"/>
          <w:i w:val="0"/>
          <w:color w:val="000000"/>
          <w:sz w:val="26"/>
        </w:rPr>
        <w:t>Số liệu độ trễ lấy từ nhật ký phát triển. 341 lượt trong hai ngày, một tài khoản thử nghiệm, kịch bản do tác giả đọc, còn lẫn một số lượt tự kiểm thử; việc phân loại nhánh xử lý dựa trên mô-đun nhận dạng ý định chỉ áp dụng cho đợt đo này; một lượt ngoại lệ khoảng 21 giây do nghẽn mạng vẫn được tính vào thống kê.</w:t>
      </w:r>
    </w:p>
    <w:p>
      <w:pPr>
        <w:spacing w:after="120" w:before="0" w:line="360" w:lineRule="auto"/>
        <w:ind w:firstLine="567"/>
        <w:jc w:val="both"/>
      </w:pPr>
      <w:r>
        <w:rPr>
          <w:rFonts w:ascii="Times New Roman" w:hAnsi="Times New Roman" w:eastAsia="Times New Roman"/>
          <w:b w:val="0"/>
          <w:i w:val="0"/>
          <w:color w:val="000000"/>
          <w:sz w:val="26"/>
        </w:rPr>
        <w:t>Phụ thuộc nhà cung cấp mô hình. Kết quả gắn với cấu hình STT, LLM, TTS của buổi đo (Phụ lục D).</w:t>
      </w:r>
    </w:p>
    <w:p>
      <w:pPr>
        <w:spacing w:after="120" w:before="0" w:line="360" w:lineRule="auto"/>
        <w:ind w:firstLine="567"/>
        <w:jc w:val="both"/>
      </w:pPr>
      <w:r>
        <w:rPr>
          <w:rFonts w:ascii="Times New Roman" w:hAnsi="Times New Roman" w:eastAsia="Times New Roman"/>
          <w:b w:val="0"/>
          <w:i w:val="0"/>
          <w:color w:val="000000"/>
          <w:sz w:val="26"/>
        </w:rPr>
        <w:t>Thiên lệch người đánh giá. Đợt đánh giá chính thức cần ít nhất hai người đánh giá độc lập theo cùng tiêu chí ở Bảng 6.9 và Bảng 6.10.</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từng yêu cầu. Kết quả hiện có cho thấy: luồng đầy đủ qua LLM chưa đạt ngưỡng độ trễ trong đợt đo 05–06/09/2026 với điểm nghẽn ở thời gian sinh token đầu; tỷ lệ lỗi từ tăng hơn gấp đôi trong điều kiện nhiễu; khoảng 88% lượt chọn đúng công cụ; các tiêu chí khả năng sử dụng và luồng khách hàng đạt; bảo mật đạt một phần. Số liệu khả năng mở rộng, khả năng phục hồi và độ trễ trên thiết kế hiện hành sẽ được bổ sung sau đợt thử nghiệm trên môi trường mô phỏng.</w:t>
      </w:r>
    </w:p>
    <w:p>
      <w:r>
        <w:br w:type="page"/>
      </w:r>
    </w:p>
    <w:p>
      <w:bookmarkStart w:id="14"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4"/>
    </w:p>
    <w:p>
      <w:pPr>
        <w:spacing w:after="120" w:before="0" w:line="360" w:lineRule="auto"/>
        <w:ind w:firstLine="567"/>
        <w:jc w:val="both"/>
      </w:pPr>
      <w:r>
        <w:rPr>
          <w:rFonts w:ascii="Times New Roman" w:hAnsi="Times New Roman" w:eastAsia="Times New Roman"/>
          <w:b w:val="0"/>
          <w:i w:val="0"/>
          <w:color w:val="000000"/>
          <w:sz w:val="26"/>
        </w:rPr>
        <w:t>Luận văn đã thực hiện chu trình thiết kế – xây dựng – đánh giá cho một trợ lý AI bằng giọng nói hỗ trợ tài xế xe công nghệ. Từ các nghiệp vụ thường xuyên của tài xế, Chương 3 xác định các yêu cầu chức năng gắn với thành phần phụ trách và năm yêu cầu phi chức năng (khả năng sử dụng, hiệu năng, khả năng mở rộng, khả năng phục hồi, bảo mật) được phân loại theo ISO/IEC 25010 và đặc tả dưới dạng kịch bản đo được. Các yêu cầu phi chức năng này là động lực để Chương 4 lựa chọn kiến trúc microservices trên AWS, trong đó tác nhân hội thoại chạy trên container tách khỏi các dịch vụ nghiệp vụ chạy trên FaaS, mỗi dịch vụ sở hữu dữ liệu riêng. Chương 5 hiện thực kiến trúc này thành nguyên mẫu chạy đầu cuối trên WebRTC và SIP, kèm hạ tầng dạng mã cho từng dịch vụ.</w:t>
      </w:r>
    </w:p>
    <w:p>
      <w:pPr>
        <w:spacing w:after="120" w:before="0" w:line="360" w:lineRule="auto"/>
        <w:ind w:firstLine="567"/>
        <w:jc w:val="both"/>
      </w:pPr>
      <w:r>
        <w:rPr>
          <w:rFonts w:ascii="Times New Roman" w:hAnsi="Times New Roman" w:eastAsia="Times New Roman"/>
          <w:b w:val="0"/>
          <w:i w:val="0"/>
          <w:color w:val="000000"/>
          <w:sz w:val="26"/>
        </w:rPr>
        <w:t>Kết quả đánh giá ở Chương 6 được nêu kèm nguồn và cỡ mẫu. Trên 341 lượt hội thoại trích từ nhật ký phát triển (05–06/09/2026), các lượt đi qua mô hình ngôn ngữ có P95 độ trễ phản hồi 3,75 giây, chưa đạt ngưỡng 2 giây; thành phần lớn nhất là thời gian mô hình sinh token đầu (Bảng 6.4, 6.5). Tỷ lệ lỗi từ tăng từ 3,1% lên 7,3% khi thêm nhiễu mô phỏng khoang xe (một người đọc, 22 câu). Trên mẫu khoảng 39 lượt do một người đánh giá, 88% lượt chọn đúng công cụ và 77% hoàn thành nghiệp vụ ngay lần đầu. Các tiêu chí khả năng sử dụng, luồng khách hàng và báo cáo vận hành ngày đạt ở mức kiểm thử; danh mục bảo mật đạt 5/6 mục (mục che số điện thoại trong nhật ký còn phải kiểm tra lại). Số liệu khả năng mở rộng, khả năng phục hồi và độ trễ trên thiết kế hiện hành sẽ được bổ sung sau đợt thử nghiệm trên môi trường mô phỏng.</w:t>
      </w:r>
    </w:p>
    <w:p>
      <w:pPr>
        <w:spacing w:after="120" w:before="0" w:line="360" w:lineRule="auto"/>
        <w:ind w:firstLine="567"/>
        <w:jc w:val="both"/>
      </w:pPr>
      <w:r>
        <w:rPr>
          <w:rFonts w:ascii="Times New Roman" w:hAnsi="Times New Roman" w:eastAsia="Times New Roman"/>
          <w:b w:val="0"/>
          <w:i w:val="0"/>
          <w:color w:val="000000"/>
          <w:sz w:val="26"/>
        </w:rPr>
        <w:t>Các hạn chế chính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dữ liệu lấy từ môi trường phát triển, chưa khảo sát trên đường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cố ý gây lỗi thực hiện trên môi trường mô phỏng, không trên hạ tầng AWS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phụ thuộc mô hình STT, LLM, TTS của nhà cung cấp bên ngoài.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huấn luyện lại mô hình nhận dạng giọng nói cho tiếng Việt trong khoang xe.</w:t>
      </w:r>
    </w:p>
    <w:p>
      <w:pPr>
        <w:spacing w:after="120" w:before="0" w:line="360" w:lineRule="auto"/>
        <w:ind w:firstLine="567"/>
        <w:jc w:val="both"/>
      </w:pPr>
      <w:r>
        <w:rPr>
          <w:rFonts w:ascii="Times New Roman" w:hAnsi="Times New Roman" w:eastAsia="Times New Roman"/>
          <w:b w:val="0"/>
          <w:i w:val="0"/>
          <w:color w:val="000000"/>
          <w:sz w:val="26"/>
        </w:rPr>
        <w:t>Hướng phát triển: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lại độ trễ trên thiết kế hiện hành với kịch bản có gắn nhãn, kịch bản mù và nhiều người đọc.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Giảm thời gian sinh token đầu: rút gọn lời nhắc hệ thống, giảm số vòng gọi công cụ hoặc dùng mô hình nhanh hơn.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trên hạ tầng AWS thật với tự động điều chỉnh số bản sao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Bổ sung ngôn ngữ và giọng vùng miền.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nghiệm thực địa có kiểm soát an toàn để đo tác động tới thao tác nhìn và chạm khi lái.</w:t>
      </w:r>
    </w:p>
    <w:p>
      <w:r>
        <w:br w:type="page"/>
      </w:r>
    </w:p>
    <w:p>
      <w:bookmarkStart w:id="15"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5"/>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6"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6"/>
    </w:p>
    <w:p>
      <w:bookmarkStart w:id="17"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7"/>
    </w:p>
    <w:p>
      <w:bookmarkStart w:id="18"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8"/>
    </w:p>
    <w:p>
      <w:bookmarkStart w:id="19"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19"/>
    </w:p>
    <w:p>
      <w:bookmarkStart w:id="20"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0"/>
    </w:p>
    <w:p>
      <w:bookmarkStart w:id="21" w:name="ref_dingus2016"/>
      <w:pPr>
        <w:spacing w:after="120" w:before="0" w:line="240" w:lineRule="auto"/>
        <w:ind w:left="567" w:hanging="567"/>
        <w:jc w:val="both"/>
      </w:pPr>
      <w:r>
        <w:rPr>
          <w:rFonts w:ascii="Times New Roman" w:hAnsi="Times New Roman" w:eastAsia="Times New Roman"/>
          <w:b w:val="0"/>
          <w:i w:val="0"/>
          <w:color w:val="000000"/>
          <w:sz w:val="26"/>
        </w:rPr>
        <w:t>[6] Dingus, T. A., Guo, F., Lee, S., Antin, J. F., Perez, M., Buchanan-King, M., &amp; Hankey, J. (2016). Driver crash risk factors and prevalence evaluation using naturalistic driving data. Proceedings of the National Academy of Sciences, 113(10), 2636–2641. https://doi.org/10.1073/pnas.1513271113</w:t>
      </w:r>
      <w:bookmarkEnd w:id="21"/>
    </w:p>
    <w:p>
      <w:bookmarkStart w:id="22" w:name="ref_dragoni2017"/>
      <w:pPr>
        <w:spacing w:after="120" w:before="0" w:line="240" w:lineRule="auto"/>
        <w:ind w:left="567" w:hanging="567"/>
        <w:jc w:val="both"/>
      </w:pPr>
      <w:r>
        <w:rPr>
          <w:rFonts w:ascii="Times New Roman" w:hAnsi="Times New Roman" w:eastAsia="Times New Roman"/>
          <w:b w:val="0"/>
          <w:i w:val="0"/>
          <w:color w:val="000000"/>
          <w:sz w:val="26"/>
        </w:rPr>
        <w:t>[7]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2"/>
    </w:p>
    <w:p>
      <w:bookmarkStart w:id="23" w:name="ref_iihs_distracted"/>
      <w:pPr>
        <w:spacing w:after="120" w:before="0" w:line="240" w:lineRule="auto"/>
        <w:ind w:left="567" w:hanging="567"/>
        <w:jc w:val="both"/>
      </w:pPr>
      <w:r>
        <w:rPr>
          <w:rFonts w:ascii="Times New Roman" w:hAnsi="Times New Roman" w:eastAsia="Times New Roman"/>
          <w:b w:val="0"/>
          <w:i w:val="0"/>
          <w:color w:val="000000"/>
          <w:sz w:val="26"/>
        </w:rPr>
        <w:t>[8] Insurance Institute for Highway Safety. (n.d.). Distracted driving. https://www.iihs.org/research-areas/distracted-driving</w:t>
      </w:r>
      <w:bookmarkEnd w:id="23"/>
    </w:p>
    <w:p>
      <w:bookmarkStart w:id="24" w:name="ref_iso25010_2023"/>
      <w:pPr>
        <w:spacing w:after="120" w:before="0" w:line="240" w:lineRule="auto"/>
        <w:ind w:left="567" w:hanging="567"/>
        <w:jc w:val="both"/>
      </w:pPr>
      <w:r>
        <w:rPr>
          <w:rFonts w:ascii="Times New Roman" w:hAnsi="Times New Roman" w:eastAsia="Times New Roman"/>
          <w:b w:val="0"/>
          <w:i w:val="0"/>
          <w:color w:val="000000"/>
          <w:sz w:val="26"/>
        </w:rPr>
        <w:t>[9] ISO/IEC. (2023). ISO/IEC 25010:2023 Systems and software engineering — Systems and software Quality Requirements and Evaluation (SQuaRE) — Product quality model. https://www.iso.org/standard/78176.html</w:t>
      </w:r>
      <w:bookmarkEnd w:id="24"/>
    </w:p>
    <w:p>
      <w:bookmarkStart w:id="25" w:name="ref_jonas2019"/>
      <w:pPr>
        <w:spacing w:after="120" w:before="0" w:line="240" w:lineRule="auto"/>
        <w:ind w:left="567" w:hanging="567"/>
        <w:jc w:val="both"/>
      </w:pPr>
      <w:r>
        <w:rPr>
          <w:rFonts w:ascii="Times New Roman" w:hAnsi="Times New Roman" w:eastAsia="Times New Roman"/>
          <w:b w:val="0"/>
          <w:i w:val="0"/>
          <w:color w:val="000000"/>
          <w:sz w:val="26"/>
        </w:rPr>
        <w:t>[10]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25"/>
    </w:p>
    <w:p>
      <w:bookmarkStart w:id="26" w:name="ref_lewis_fowler2014"/>
      <w:pPr>
        <w:spacing w:after="120" w:before="0" w:line="240" w:lineRule="auto"/>
        <w:ind w:left="567" w:hanging="567"/>
        <w:jc w:val="both"/>
      </w:pPr>
      <w:r>
        <w:rPr>
          <w:rFonts w:ascii="Times New Roman" w:hAnsi="Times New Roman" w:eastAsia="Times New Roman"/>
          <w:b w:val="0"/>
          <w:i w:val="0"/>
          <w:color w:val="000000"/>
          <w:sz w:val="26"/>
        </w:rPr>
        <w:t>[11] Lewis, J., &amp; Fowler, M. (2014, March 25). Microservices: A definition of this new architectural term. https://martinfowler.com/articles/microservices.html</w:t>
      </w:r>
      <w:bookmarkEnd w:id="26"/>
    </w:p>
    <w:p>
      <w:bookmarkStart w:id="27" w:name="ref_livekit_agents"/>
      <w:pPr>
        <w:spacing w:after="120" w:before="0" w:line="240" w:lineRule="auto"/>
        <w:ind w:left="567" w:hanging="567"/>
        <w:jc w:val="both"/>
      </w:pPr>
      <w:r>
        <w:rPr>
          <w:rFonts w:ascii="Times New Roman" w:hAnsi="Times New Roman" w:eastAsia="Times New Roman"/>
          <w:b w:val="0"/>
          <w:i w:val="0"/>
          <w:color w:val="000000"/>
          <w:sz w:val="26"/>
        </w:rPr>
        <w:t>[12] LiveKit Inc. (n.d.). Agents. LiveKit Documentation. https://docs.livekit.io/agents/</w:t>
      </w:r>
      <w:bookmarkEnd w:id="27"/>
    </w:p>
    <w:p>
      <w:bookmarkStart w:id="28" w:name="ref_lyu2025"/>
      <w:pPr>
        <w:spacing w:after="120" w:before="0" w:line="240" w:lineRule="auto"/>
        <w:ind w:left="567" w:hanging="567"/>
        <w:jc w:val="both"/>
      </w:pPr>
      <w:r>
        <w:rPr>
          <w:rFonts w:ascii="Times New Roman" w:hAnsi="Times New Roman" w:eastAsia="Times New Roman"/>
          <w:b w:val="0"/>
          <w:i w:val="0"/>
          <w:color w:val="000000"/>
          <w:sz w:val="26"/>
        </w:rPr>
        <w:t>[13] Lyu, T., Feng, S., Liu, H., &amp; Yang, H. (2025). LLM-ODDR: A Large Language Model Framework for Joint Order Dispatching and Driver Repositioning. arXiv:2505.22695. https://arxiv.org/abs/2505.22695</w:t>
      </w:r>
      <w:bookmarkEnd w:id="28"/>
    </w:p>
    <w:p>
      <w:bookmarkStart w:id="29" w:name="ref_nhtsa2013"/>
      <w:pPr>
        <w:spacing w:after="120" w:before="0" w:line="240" w:lineRule="auto"/>
        <w:ind w:left="567" w:hanging="567"/>
        <w:jc w:val="both"/>
      </w:pPr>
      <w:r>
        <w:rPr>
          <w:rFonts w:ascii="Times New Roman" w:hAnsi="Times New Roman" w:eastAsia="Times New Roman"/>
          <w:b w:val="0"/>
          <w:i w:val="0"/>
          <w:color w:val="000000"/>
          <w:sz w:val="26"/>
        </w:rPr>
        <w:t>[14] National Highway Traffic Safety Administration. (2013). Visual-Manual NHTSA Driver Distraction Guidelines for In-Vehicle Electronic Devices. Federal Register, 78 FR 24817. https://www.transportation.gov/regulations/federal-register-documents/2013-09883</w:t>
      </w:r>
      <w:bookmarkEnd w:id="29"/>
    </w:p>
    <w:p>
      <w:bookmarkStart w:id="30" w:name="ref_newman2021"/>
      <w:pPr>
        <w:spacing w:after="120" w:before="0" w:line="240" w:lineRule="auto"/>
        <w:ind w:left="567" w:hanging="567"/>
        <w:jc w:val="both"/>
      </w:pPr>
      <w:r>
        <w:rPr>
          <w:rFonts w:ascii="Times New Roman" w:hAnsi="Times New Roman" w:eastAsia="Times New Roman"/>
          <w:b w:val="0"/>
          <w:i w:val="0"/>
          <w:color w:val="000000"/>
          <w:sz w:val="26"/>
        </w:rPr>
        <w:t>[15] Newman, S. (2021). Building Microservices: Designing Fine-Grained Systems (2nd ed.). O'Reilly Media. ISBN 978-1-492-03402-5</w:t>
      </w:r>
      <w:bookmarkEnd w:id="30"/>
    </w:p>
    <w:p>
      <w:bookmarkStart w:id="31" w:name="ref_richardson2018"/>
      <w:pPr>
        <w:spacing w:after="120" w:before="0" w:line="240" w:lineRule="auto"/>
        <w:ind w:left="567" w:hanging="567"/>
        <w:jc w:val="both"/>
      </w:pPr>
      <w:r>
        <w:rPr>
          <w:rFonts w:ascii="Times New Roman" w:hAnsi="Times New Roman" w:eastAsia="Times New Roman"/>
          <w:b w:val="0"/>
          <w:i w:val="0"/>
          <w:color w:val="000000"/>
          <w:sz w:val="26"/>
        </w:rPr>
        <w:t>[16] Richardson, C. (2018). Microservices Patterns: With examples in Java. Manning. ISBN 978-1-61729-454-9</w:t>
      </w:r>
      <w:bookmarkEnd w:id="31"/>
    </w:p>
    <w:p>
      <w:bookmarkStart w:id="32" w:name="ref_schick2023"/>
      <w:pPr>
        <w:spacing w:after="120" w:before="0" w:line="240" w:lineRule="auto"/>
        <w:ind w:left="567" w:hanging="567"/>
        <w:jc w:val="both"/>
      </w:pPr>
      <w:r>
        <w:rPr>
          <w:rFonts w:ascii="Times New Roman" w:hAnsi="Times New Roman" w:eastAsia="Times New Roman"/>
          <w:b w:val="0"/>
          <w:i w:val="0"/>
          <w:color w:val="000000"/>
          <w:sz w:val="26"/>
        </w:rPr>
        <w:t>[17] Schick, T., Dwivedi-Yu, J., Dessì, R., Raileanu, R., Lomeli, M., Hambro, E., Zettlemoyer, L., Cancedda, N., &amp; Scialom, T. (2023). Toolformer: Language Models Can Teach Themselves to Use Tools. arXiv:2302.04761. https://arxiv.org/abs/2302.04761</w:t>
      </w:r>
      <w:bookmarkEnd w:id="32"/>
    </w:p>
    <w:p>
      <w:bookmarkStart w:id="33" w:name="ref_soldani2018"/>
      <w:pPr>
        <w:spacing w:after="120" w:before="0" w:line="240" w:lineRule="auto"/>
        <w:ind w:left="567" w:hanging="567"/>
        <w:jc w:val="both"/>
      </w:pPr>
      <w:r>
        <w:rPr>
          <w:rFonts w:ascii="Times New Roman" w:hAnsi="Times New Roman" w:eastAsia="Times New Roman"/>
          <w:b w:val="0"/>
          <w:i w:val="0"/>
          <w:color w:val="000000"/>
          <w:sz w:val="26"/>
        </w:rPr>
        <w:t>[18] Soldani, J., Tamburri, D. A., &amp; Van Den Heuvel, W.-J. (2018). The pains and gains of microservices: A Systematic grey literature review. Journal of Systems and Software, 146, 215–232. https://doi.org/10.1016/j.jss.2018.09.082</w:t>
      </w:r>
      <w:bookmarkEnd w:id="33"/>
    </w:p>
    <w:p>
      <w:bookmarkStart w:id="34" w:name="ref_stivers2009"/>
      <w:pPr>
        <w:spacing w:after="120" w:before="0" w:line="240" w:lineRule="auto"/>
        <w:ind w:left="567" w:hanging="567"/>
        <w:jc w:val="both"/>
      </w:pPr>
      <w:r>
        <w:rPr>
          <w:rFonts w:ascii="Times New Roman" w:hAnsi="Times New Roman" w:eastAsia="Times New Roman"/>
          <w:b w:val="0"/>
          <w:i w:val="0"/>
          <w:color w:val="000000"/>
          <w:sz w:val="26"/>
        </w:rPr>
        <w:t>[19]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34"/>
    </w:p>
    <w:p>
      <w:r>
        <w:br w:type="page"/>
      </w:r>
    </w:p>
    <w:p>
      <w:bookmarkStart w:id="35"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35"/>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khách hàng (answer_app_faq dùng chung).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60400" cy="5757774"/>
            <wp:docPr id="19" name="Picture 19"/>
            <wp:cNvGraphicFramePr>
              <a:graphicFrameLocks noChangeAspect="1"/>
            </wp:cNvGraphicFramePr>
            <a:graphic>
              <a:graphicData uri="http://schemas.openxmlformats.org/drawingml/2006/picture">
                <pic:pic>
                  <pic:nvPicPr>
                    <pic:cNvPr id="0" name="register.jpg"/>
                    <pic:cNvPicPr/>
                  </pic:nvPicPr>
                  <pic:blipFill>
                    <a:blip r:embed="rId31"/>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 Driver.</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0" name="Picture 20"/>
            <wp:cNvGraphicFramePr>
              <a:graphicFrameLocks noChangeAspect="1"/>
            </wp:cNvGraphicFramePr>
            <a:graphic>
              <a:graphicData uri="http://schemas.openxmlformats.org/drawingml/2006/picture">
                <pic:pic>
                  <pic:nvPicPr>
                    <pic:cNvPr id="0" name="trolyczen2.jpg"/>
                    <pic:cNvPicPr/>
                  </pic:nvPicPr>
                  <pic:blipFill>
                    <a:blip r:embed="rId3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Biểu tượng trợ lý giọng nói ở trạng thái đang kết nối.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1" name="Picture 21"/>
            <wp:cNvGraphicFramePr>
              <a:graphicFrameLocks noChangeAspect="1"/>
            </wp:cNvGraphicFramePr>
            <a:graphic>
              <a:graphicData uri="http://schemas.openxmlformats.org/drawingml/2006/picture">
                <pic:pic>
                  <pic:nvPicPr>
                    <pic:cNvPr id="0" name="caidattroly.jpg"/>
                    <pic:cNvPicPr/>
                  </pic:nvPicPr>
                  <pic:blipFill>
                    <a:blip r:embed="rId3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Cài đặt trợ lý: chọn ngôn ngữ và chế độ gọi khách mặc định (tác nhân gọi thay hoặc tài xế nói trực tiếp).</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2" name="Picture 22"/>
            <wp:cNvGraphicFramePr>
              <a:graphicFrameLocks noChangeAspect="1"/>
            </wp:cNvGraphicFramePr>
            <a:graphic>
              <a:graphicData uri="http://schemas.openxmlformats.org/drawingml/2006/picture">
                <pic:pic>
                  <pic:nvPicPr>
                    <pic:cNvPr id="0" name="caidattroly2.jpg"/>
                    <pic:cNvPicPr/>
                  </pic:nvPicPr>
                  <pic:blipFill>
                    <a:blip r:embed="rId3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Cài đặt trợ lý: kích hoạt rảnh tay bằng từ khóa đánh thức và các tùy chọn nhắc khách.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3" name="Picture 23"/>
            <wp:cNvGraphicFramePr>
              <a:graphicFrameLocks noChangeAspect="1"/>
            </wp:cNvGraphicFramePr>
            <a:graphic>
              <a:graphicData uri="http://schemas.openxmlformats.org/drawingml/2006/picture">
                <pic:pic>
                  <pic:nvPicPr>
                    <pic:cNvPr id="0" name="mapdetails.jpg"/>
                    <pic:cNvPicPr/>
                  </pic:nvPicPr>
                  <pic:blipFill>
                    <a:blip r:embed="rId3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4" name="Picture 24"/>
            <wp:cNvGraphicFramePr>
              <a:graphicFrameLocks noChangeAspect="1"/>
            </wp:cNvGraphicFramePr>
            <a:graphic>
              <a:graphicData uri="http://schemas.openxmlformats.org/drawingml/2006/picture">
                <pic:pic>
                  <pic:nvPicPr>
                    <pic:cNvPr id="0" name="chuyendidangchay.jpg"/>
                    <pic:cNvPicPr/>
                  </pic:nvPicPr>
                  <pic:blipFill>
                    <a:blip r:embed="rId3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Gợi ý lộ trình tối ưu cho nhiều điểm đón/trả trong danh sách chuyến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5" name="Picture 25"/>
            <wp:cNvGraphicFramePr>
              <a:graphicFrameLocks noChangeAspect="1"/>
            </wp:cNvGraphicFramePr>
            <a:graphic>
              <a:graphicData uri="http://schemas.openxmlformats.org/drawingml/2006/picture">
                <pic:pic>
                  <pic:nvPicPr>
                    <pic:cNvPr id="0" name="themchuyen2.jpg"/>
                    <pic:cNvPicPr/>
                  </pic:nvPicPr>
                  <pic:blipFill>
                    <a:blip r:embed="rId37"/>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Tài xế tự tạo chuyến cho khách vãng lai, kèm các yêu cầu đặc biệt (hàng cồng kềnh, đi cùng trẻ em).</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6" name="Picture 26"/>
            <wp:cNvGraphicFramePr>
              <a:graphicFrameLocks noChangeAspect="1"/>
            </wp:cNvGraphicFramePr>
            <a:graphic>
              <a:graphicData uri="http://schemas.openxmlformats.org/drawingml/2006/picture">
                <pic:pic>
                  <pic:nvPicPr>
                    <pic:cNvPr id="0" name="profile.jpg"/>
                    <pic:cNvPicPr/>
                  </pic:nvPicPr>
                  <pic:blipFill>
                    <a:blip r:embed="rId38"/>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Màn hình hồ sơ tài xế và các chỉ số vận hành (đánh giá, số chuyến, tỷ lệ nhận/hoàn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7" name="Picture 27"/>
            <wp:cNvGraphicFramePr>
              <a:graphicFrameLocks noChangeAspect="1"/>
            </wp:cNvGraphicFramePr>
            <a:graphic>
              <a:graphicData uri="http://schemas.openxmlformats.org/drawingml/2006/picture">
                <pic:pic>
                  <pic:nvPicPr>
                    <pic:cNvPr id="0" name="thunhap.jpg"/>
                    <pic:cNvPicPr/>
                  </pic:nvPicPr>
                  <pic:blipFill>
                    <a:blip r:embed="rId39"/>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Màn hình thu nhập theo kỳ và chi tiết cước từng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28" name="Picture 28"/>
            <wp:cNvGraphicFramePr>
              <a:graphicFrameLocks noChangeAspect="1"/>
            </wp:cNvGraphicFramePr>
            <a:graphic>
              <a:graphicData uri="http://schemas.openxmlformats.org/drawingml/2006/picture">
                <pic:pic>
                  <pic:nvPicPr>
                    <pic:cNvPr id="0" name="bangchuyen.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29" name="Picture 29"/>
            <wp:cNvGraphicFramePr>
              <a:graphicFrameLocks noChangeAspect="1"/>
            </wp:cNvGraphicFramePr>
            <a:graphic>
              <a:graphicData uri="http://schemas.openxmlformats.org/drawingml/2006/picture">
                <pic:pic>
                  <pic:nvPicPr>
                    <pic:cNvPr id="0" name="taochuyen.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Trang quản trị: tạo chuyến thử nghiệm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0" name="Picture 30"/>
            <wp:cNvGraphicFramePr>
              <a:graphicFrameLocks noChangeAspect="1"/>
            </wp:cNvGraphicFramePr>
            <a:graphic>
              <a:graphicData uri="http://schemas.openxmlformats.org/drawingml/2006/picture">
                <pic:pic>
                  <pic:nvPicPr>
                    <pic:cNvPr id="0" name="taix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31" name="Picture 31"/>
            <wp:cNvGraphicFramePr>
              <a:graphicFrameLocks noChangeAspect="1"/>
            </wp:cNvGraphicFramePr>
            <a:graphic>
              <a:graphicData uri="http://schemas.openxmlformats.org/drawingml/2006/picture">
                <pic:pic>
                  <pic:nvPicPr>
                    <pic:cNvPr id="0" name="khachhang.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32" name="Picture 32"/>
            <wp:cNvGraphicFramePr>
              <a:graphicFrameLocks noChangeAspect="1"/>
            </wp:cNvGraphicFramePr>
            <a:graphic>
              <a:graphicData uri="http://schemas.openxmlformats.org/drawingml/2006/picture">
                <pic:pic>
                  <pic:nvPicPr>
                    <pic:cNvPr id="0" name="nhatkicuocgoi.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33" name="Picture 33"/>
            <wp:cNvGraphicFramePr>
              <a:graphicFrameLocks noChangeAspect="1"/>
            </wp:cNvGraphicFramePr>
            <a:graphic>
              <a:graphicData uri="http://schemas.openxmlformats.org/drawingml/2006/picture">
                <pic:pic>
                  <pic:nvPicPr>
                    <pic:cNvPr id="0" name="tongquan2.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34" name="Picture 34"/>
            <wp:cNvGraphicFramePr>
              <a:graphicFrameLocks noChangeAspect="1"/>
            </wp:cNvGraphicFramePr>
            <a:graphic>
              <a:graphicData uri="http://schemas.openxmlformats.org/drawingml/2006/picture">
                <pic:pic>
                  <pic:nvPicPr>
                    <pic:cNvPr id="0" name="config.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35" name="Picture 35"/>
            <wp:cNvGraphicFramePr>
              <a:graphicFrameLocks noChangeAspect="1"/>
            </wp:cNvGraphicFramePr>
            <a:graphic>
              <a:graphicData uri="http://schemas.openxmlformats.org/drawingml/2006/picture">
                <pic:pic>
                  <pic:nvPicPr>
                    <pic:cNvPr id="0" name="logs.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36" name="Picture 36"/>
            <wp:cNvGraphicFramePr>
              <a:graphicFrameLocks noChangeAspect="1"/>
            </wp:cNvGraphicFramePr>
            <a:graphic>
              <a:graphicData uri="http://schemas.openxmlformats.org/drawingml/2006/picture">
                <pic:pic>
                  <pic:nvPicPr>
                    <pic:cNvPr id="0" name="cuocgoi.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17"/>
        <w:gridCol w:w="633"/>
        <w:gridCol w:w="1252"/>
        <w:gridCol w:w="1078"/>
        <w:gridCol w:w="2405"/>
        <w:gridCol w:w="791"/>
        <w:gridCol w:w="809"/>
      </w:tblGrid>
      <w:tr>
        <w:trPr>
          <w:cantSplit/>
          <w:tblHeader w:val="true"/>
        </w:trPr>
        <w:tc>
          <w:tcPr>
            <w:tcW w:type="dxa" w:w="18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1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8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 FR-T07</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đánh giá riêng</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6.14</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Kênh liên lạc</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đánh giá riêng</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 FR-W02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đánh giá riêng</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 FR-I02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đánh giá riêng</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đánh giá riêng</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 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 S6</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6.12</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18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6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1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t>
            </w:r>
          </w:p>
        </w:tc>
        <w:tc>
          <w:tcPr>
            <w:tcW w:type="dxa" w:w="2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8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70"/>
        <w:gridCol w:w="2420"/>
        <w:gridCol w:w="2612"/>
        <w:gridCol w:w="1784"/>
      </w:tblGrid>
      <w:tr>
        <w:trPr>
          <w:cantSplit/>
          <w:tblHeader w:val="true"/>
        </w:trPr>
        <w:tc>
          <w:tcPr>
            <w:tcW w:type="dxa" w:w="19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7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Kênh liên lạc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hội thoại giọng nói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19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7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