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chưa đạt ngưỡng 2 giây, với thời gian sinh token đầu là thành phần chi phối; tỷ lệ lỗi từ tăng từ 3,1% lên 7,3% khi có nhiễu; khoảng 88% lượt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Các phép đo còn thiếu được nêu rõ cùng cỡ mẫu và giới hạn.</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about 88% of turns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Measurements still missing are reported with sample size and limitations.</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tài xế chọn câu gợi ý nhanh, trợ lý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trong ngày</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18/10/2026)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18/10/2026)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w:t>
      </w:r>
    </w:p>
    <w:p>
      <w:pPr>
        <w:spacing w:after="120" w:before="0" w:line="360" w:lineRule="auto"/>
        <w:ind w:firstLine="0"/>
        <w:jc w:val="both"/>
      </w:pPr>
      <w:r>
        <w:rPr>
          <w:rFonts w:ascii="Times New Roman" w:hAnsi="Times New Roman" w:eastAsia="Times New Roman"/>
          <w:b w:val="0"/>
          <w:i w:val="0"/>
          <w:color w:val="000000"/>
          <w:sz w:val="26"/>
        </w:rPr>
        <w:t>Hình C.2. Bảng mời nhận chuyến: cước ước tính, vòng đếm ngược 30 giây, thông tin khách và lộ trình; bảng nằm trên cả khung trợ lý đang đọc chuyến mới.</w:t>
      </w:r>
    </w:p>
    <w:p>
      <w:pPr>
        <w:spacing w:after="120" w:before="0" w:line="360" w:lineRule="auto"/>
        <w:ind w:firstLine="0"/>
        <w:jc w:val="both"/>
      </w:pPr>
      <w:r>
        <w:rPr>
          <w:rFonts w:ascii="Times New Roman" w:hAnsi="Times New Roman" w:eastAsia="Times New Roman"/>
          <w:b w:val="0"/>
          <w:i w:val="0"/>
          <w:color w:val="000000"/>
          <w:sz w:val="26"/>
        </w:rPr>
        <w:t>Hình C.3. Khung trợ lý ở trạng thái đang kết nối, kèm các câu gợi ý nhanh.</w:t>
      </w:r>
    </w:p>
    <w:p>
      <w:pPr>
        <w:spacing w:after="120" w:before="0" w:line="360" w:lineRule="auto"/>
        <w:ind w:firstLine="0"/>
        <w:jc w:val="both"/>
      </w:pPr>
      <w:r>
        <w:rPr>
          <w:rFonts w:ascii="Times New Roman" w:hAnsi="Times New Roman" w:eastAsia="Times New Roman"/>
          <w:b w:val="0"/>
          <w:i w:val="0"/>
          <w:color w:val="000000"/>
          <w:sz w:val="26"/>
        </w:rPr>
        <w:t>Hình C.4. Câu gợi ý nhanh nằm dưới lời chào của trợ lý cho tới lượt nói đầu tiên của tài xế.</w:t>
      </w:r>
    </w:p>
    <w:p>
      <w:pPr>
        <w:spacing w:after="120" w:before="0" w:line="360" w:lineRule="auto"/>
        <w:ind w:firstLine="0"/>
        <w:jc w:val="both"/>
      </w:pPr>
      <w:r>
        <w:rPr>
          <w:rFonts w:ascii="Times New Roman" w:hAnsi="Times New Roman" w:eastAsia="Times New Roman"/>
          <w:b w:val="0"/>
          <w:i w:val="0"/>
          <w:color w:val="000000"/>
          <w:sz w:val="26"/>
        </w:rPr>
        <w:t>Hình C.5. Cài đặt trợ lý: ngôn ngữ, chế độ gọi khách mặc định, chế độ rảnh tay và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C.6. Cài đặt trợ lý: chọn bán kính nhắc khách (500 m, 1 km, 2 km, 3 km) và gợi ý điểm dừng tiếp theo.</w:t>
      </w:r>
    </w:p>
    <w:p>
      <w:pPr>
        <w:spacing w:after="120" w:before="0" w:line="360" w:lineRule="auto"/>
        <w:ind w:firstLine="0"/>
        <w:jc w:val="both"/>
      </w:pPr>
      <w:r>
        <w:rPr>
          <w:rFonts w:ascii="Times New Roman" w:hAnsi="Times New Roman" w:eastAsia="Times New Roman"/>
          <w:b w:val="0"/>
          <w:i w:val="0"/>
          <w:color w:val="000000"/>
          <w:sz w:val="26"/>
        </w:rPr>
        <w:t>Hình C.7.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120" w:before="0" w:line="360" w:lineRule="auto"/>
        <w:ind w:firstLine="0"/>
        <w:jc w:val="both"/>
      </w:pPr>
      <w:r>
        <w:rPr>
          <w:rFonts w:ascii="Times New Roman" w:hAnsi="Times New Roman" w:eastAsia="Times New Roman"/>
          <w:b w:val="0"/>
          <w:i w:val="0"/>
          <w:color w:val="000000"/>
          <w:sz w:val="26"/>
        </w:rPr>
        <w:t>Hình C.9. Tài xế tự tạo chuyến cho khách vãng lai.</w:t>
      </w:r>
    </w:p>
    <w:p>
      <w:pPr>
        <w:spacing w:after="120" w:before="0" w:line="360" w:lineRule="auto"/>
        <w:ind w:firstLine="0"/>
        <w:jc w:val="both"/>
      </w:pPr>
      <w:r>
        <w:rPr>
          <w:rFonts w:ascii="Times New Roman" w:hAnsi="Times New Roman" w:eastAsia="Times New Roman"/>
          <w:b w:val="0"/>
          <w:i w:val="0"/>
          <w:color w:val="000000"/>
          <w:sz w:val="26"/>
        </w:rPr>
        <w:t>Hình C.10. Hồ sơ tài xế và các chỉ số vận hành tính trên toàn bộ lịch sử chuyến (đánh giá, số chuyến, tỷ lệ nhận, tỷ lệ hoàn thành).</w:t>
      </w:r>
    </w:p>
    <w:p>
      <w:pPr>
        <w:spacing w:after="120" w:before="0" w:line="360" w:lineRule="auto"/>
        <w:ind w:firstLine="0"/>
        <w:jc w:val="both"/>
      </w:pPr>
      <w:r>
        <w:rPr>
          <w:rFonts w:ascii="Times New Roman" w:hAnsi="Times New Roman" w:eastAsia="Times New Roman"/>
          <w:b w:val="0"/>
          <w:i w:val="0"/>
          <w:color w:val="000000"/>
          <w:sz w:val="26"/>
        </w:rPr>
        <w:t>Hình C.11. Thu nhập theo kỳ, biểu đồ 7 ngày và lịch sử chuyến đã hoàn thành.</w:t>
      </w:r>
    </w:p>
    <w:p>
      <w:pPr>
        <w:spacing w:after="120" w:before="0" w:line="360" w:lineRule="auto"/>
        <w:ind w:firstLine="0"/>
        <w:jc w:val="both"/>
      </w:pPr>
      <w:r>
        <w:rPr>
          <w:rFonts w:ascii="Times New Roman" w:hAnsi="Times New Roman" w:eastAsia="Times New Roman"/>
          <w:b w:val="0"/>
          <w:i w:val="0"/>
          <w:color w:val="000000"/>
          <w:sz w:val="26"/>
        </w:rPr>
        <w:t>Hình C.12.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C.13.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C.14.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C.15.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C.16.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C.19.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C.20.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G.1.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Một dịch vụ gọi xe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trên dữ liệu lái xe tự nhiên quy mô lớn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ngôn ngữ tự nhiên mà còn thực thi nghiệp vụ thông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thông thời gian thực — WebRTC cho ứng dụng và SIP cho mạng điện thoại — cũng đã sẵn có dưới dạng dịch vụ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chuyên cho nghiệp vụ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khi đang vận hành chuyến đi.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cả kênh trong ứng dụng (WebRTC) và kênh điện thoại (SIP) khi hệ thống gọi cho tài xế hoặc gọi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khỏi các dịch vụ nghiệp vụ, cho phép thay thế và dự phòng nhà cung cấp STT, LLM, TTS, và phân loại phiên hội thoại để giới hạn tập nghiệp vụ được phép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cấu hình hạ tầng dạng mã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(mốc kỳ vọng, chưa phải kết quả đo): độ trễ phản hồi, tính từ khi tài xế kết thúc phát ngôn đến khi hệ thống bắt đầu trả lời, có P95 ≤ 2 giây trên các luồng nghiệp vụ cốt lõi (P95 = 2 giây nghĩa là cứ 100 lượt hỏi thì tối đa 5 lượt phải chờ lâu hơn 2 giây; cơ sở chọn ngưỡng ở mục 2.8); tỷ lệ lỗi từ (Word Error Rate – WER) được so sánh tương đối giữa điều kiện yên tĩnh và điều kiện nhiễu mô phỏng khoang xe; độ chính xác gọi công cụ và tỷ lệ hoàn thành nghiệp vụ được báo cáo theo nhóm kịch bản; ngưỡng của khả năng mở rộng và khả năng phục hồi nêu cùng yêu cầu phi chức năng ở Chương 3. Định nghĩa vận hành của từng chỉ số ở mục 6.3.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thời gian thực thực thi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không dùng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73"/>
        <w:gridCol w:w="1186"/>
        <w:gridCol w:w="4540"/>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đúng gọi công cụ,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(điều phối tối ưu toàn mạng, định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Bảng đối chiếu tên chức năng với tên kỹ thuật trong mã nguồn đặt ở Phụ lục G.</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để có thể thay nhà cung cấp khi cần.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số tài xế thật tham gia thử nghiệm còn ít.</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sản phẩm đó một cách chặt chẽ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theo chiến lược "rủi ro kỹ thuật và hiệu quả" (technical risk and efficacy): đánh giá nhân tạo trước (kiểm thử tự động, môi trường mô phỏng, bộ câu tham chiếu) để loại trừ rủi ro kỹ thuật, sau đó mới đánh giá trên phiên hội thoại thật với nguyên mẫu. Cụ thể,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độ đúng gọi công cụ trên bộ kịch bản có kiểm soát.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mã định danh và được đối chiếu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đánh giá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và dự phòng nhà cung cấp,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phân tích nhật ký cho thấy thời gian mô hình ngôn ngữ sinh token đầu là thành phần chi phối độ trễ phản hồi, trong khi các chiến thuật ở phía kiến trúc (tải trước ngữ cảnh, tách tác nhân khỏi API) chỉ tác động lên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bảng kiểm sequence và bảng ánh xạ tên thành phần)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sinh thông tin không có nguồn (hallucination)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kèm lược đồ tham số, điền tham số,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cùng tác nhân hội thoại (conversational agent).</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cầu nối với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kế thừa tầng truyền thông này.</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Để mỗi lớp người dùng không chỉ là một cái tên, Cooper et al. (2014) đề xuất mô tả bằng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Cách tổ chức này được giữ xuyên suốt: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hiện thực.</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thuộc tính chất lượng trong sách trình bày một cây chiến thuật; ví dụ Hình 9.3 trình bày các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11"/>
        <w:gridCol w:w="2339"/>
        <w:gridCol w:w="4937"/>
      </w:tblGrid>
      <w:tr>
        <w:trPr>
          <w:cantSplit/>
          <w:tblHeader w:val="true"/>
        </w:trPr>
        <w:tc>
          <w:tcPr>
            <w:tcW w:type="dxa" w:w="15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tác nhân (identify actors); xác thực tác nhân (authenticate actors); phân quyền tác nhân (authorize actors); giới hạn truy cập (limit access); giới hạn phơi lộ (limit exposure); mã hóa dữ liệu (encrypt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(audit)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gắn kết, độc lập,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theo chức năng và trục Z phân mảnh dữ liệu.</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giao dịch ngắn, phi trạng thái. Tuy nhiên, FaaS có giới hạn về thời gian thực thi, khởi động nguội (cold start)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thành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thao tác nhìn–tay: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nghiên cứu liên ngôn ngữ trên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quá gây xao nhãng để dùng khi đang lái. Nhóm tác giả kết luận rằng câu hỏi thiết kế nên là người lái cần được dùng chức năng nào khi xe chạy, thay vì cung cấp mọi chức năng có thể cung cấp. Như vậy, tương tác bằng giọng nói giảm thao tác nhìn và chạm nhưng không loại bỏ tải nhận thức. Hệ quả cho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sinh lời gọi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các mô hình gọi hàm tốt nhất tại thời điểm công bố cũng hoàn thành dưới 50% nhiệm vụ. Hệ quả cho luận văn: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mô hình đầu cuối ở thời điểm đó chưa hỗ trợ gọi công cụ, điều kiện bắt buộc để thực thi nghiệp vụ. Hệ quả cho luận văn: chuỗi xử lý theo tầng được giữ lại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tái định vị tài xế,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5"/>
        <w:gridCol w:w="1368"/>
        <w:gridCol w:w="1085"/>
        <w:gridCol w:w="1249"/>
        <w:gridCol w:w="1360"/>
        <w:gridCol w:w="1550"/>
      </w:tblGrid>
      <w:tr>
        <w:trPr>
          <w:cantSplit/>
          <w:tblHeader w:val="true"/>
        </w:trPr>
        <w:tc>
          <w:tcPr>
            <w:tcW w:type="dxa" w:w="2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2.4 liệt kê các chỉ số được luận văn sử dụng; định nghĩa vận hành và phương pháp đo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đi theo một chuỗi suy luận liên tục: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có mã định danh,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ở mức mục tiêu người dùng gom các yêu cầu chức năng phục vụ cùng một mục tiêu, và mô tả trình tự tương tác giữa người dùng với hệ thống để đạt mục tiêu đó.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nghiên cứu về hành vi của tài xế gọi xe khi lái (khảo sát của IIHS cho thấy tài xế làm việc qua nền tảng số dùng ứng dụng điện thoại khi lái nhiều gấp khoảng bốn lần người lái thông thường, chủ yếu để liên lạc với khách và tìm đường đến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tài liệu nội bộ của dự án (tài liệu yêu cầu, sổ tay hướng dẫn sử dụng, bộ kịch bản hội thoại mẫu ở Phụ lục B); và ràng buộc an toàn khi lái (mục 2.8). Mọi mã định danh (FR, UC, NFR, AC)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không có nguồn từ dữ liệu nghiệp vụ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trong cuộc gọi này tài xế chỉ được nhận hoặc từ chối chuyến, vì khi điện thoại đổ chuông tài xế không nên được đưa vào toàn bộ chức năng như khi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30"/>
        <w:gridCol w:w="3513"/>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5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thông báo thiếu</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bằng lời sau khi trạng thái đã được ghi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823"/>
        <w:gridCol w:w="3946"/>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 hạn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ghi nhận sau khi tài xế xác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742"/>
        <w:gridCol w:w="307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0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 một phần khi hiển thị</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205"/>
        <w:gridCol w:w="1763"/>
        <w:gridCol w:w="1399"/>
        <w:gridCol w:w="1751"/>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2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6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4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trống: thông báo chưa có chuyến hoặc làm mới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điều kiện nghiệp vụ: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và hậu điều kiện (Bảng 3.11 đến Bảng 3.15). Ba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tính tuân thủ của hiện thực.</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719"/>
        <w:gridCol w:w="2065"/>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7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206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trên nhật ký để theo dõi và tìm nguyên nhân lỗi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45"/>
        <w:gridCol w:w="1335"/>
        <w:gridCol w:w="1810"/>
        <w:gridCol w:w="4297"/>
      </w:tblGrid>
      <w:tr>
        <w:trPr>
          <w:cantSplit/>
          <w:tblHeader w:val="true"/>
        </w:trPr>
        <w:tc>
          <w:tcPr>
            <w:tcW w:type="dxa" w:w="13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tài xế khi mở phiên; dùng lại kết nối HTTP; tránh gọi lại API cho dữ liệu đã có trong phiên</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API giao dịch</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sức khỏe bản sao tác nhân; bắt lỗi và hết thời gian chờ khi gọi API; chỉ số phiên và báo cáo ngày</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khép lại chuỗi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một chuỗi liên tục xuất phát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lập luận lựa chọn kiến trúc microservices so với các phương án thay thế, sau đó mô tả kiến trúc tổng thể trên AWS và bốn mô hình luồng hành vi theo bốn nhóm người sử dụng (tài xế, khách hàng, điều phối viên, quản trị viên hệ thống), phân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4"/>
        <w:gridCol w:w="1004"/>
        <w:gridCol w:w="3191"/>
        <w:gridCol w:w="3388"/>
      </w:tblGrid>
      <w:tr>
        <w:trPr>
          <w:cantSplit/>
          <w:tblHeader w:val="true"/>
        </w:trPr>
        <w:tc>
          <w:tcPr>
            <w:tcW w:type="dxa" w:w="12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3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tác nhân, giới hạn truy cập)</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là giao dịch ngắn, phi trạng thái,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w:t>
      </w:r>
      <w:r>
        <w:rPr>
          <w:rFonts w:ascii="Times New Roman" w:hAnsi="Times New Roman" w:eastAsia="Times New Roman"/>
          <w:b w:val="0"/>
          <w:color w:val="000000"/>
          <w:sz w:val="26"/>
        </w:rPr>
        <w:t xml:space="preserve"> một đơn vị triển khai, bên trong chia mô-đun.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là nguồn dữ liệu chuẩn cho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80"/>
        <w:gridCol w:w="2851"/>
        <w:gridCol w:w="2667"/>
        <w:gridCol w:w="989"/>
      </w:tblGrid>
      <w:tr>
        <w:trPr>
          <w:cantSplit/>
          <w:tblHeader w:val="true"/>
        </w:trPr>
        <w:tc>
          <w:tcPr>
            <w:tcW w:type="dxa" w:w="22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6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tập mẫu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81200" cy="5220150"/>
            <wp:docPr id="3" name="Picture 3"/>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8881200" cy="5220150"/>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ngang hàng với Dịch vụ Chuyến đi và Điều phối là dịch vụ backend duy nhất gọi tới chúng; ứng dụng tài xế cũng tải bản đồ nền trực tiếp từ dịch vụ bản đồ (luồng ㉕). Trong cùng cột đó,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Giao thức và mục đích của từng luồng giữa người dùng và hệ thống (HTTPS kèm JWT, WebRTC, WSS, SIP/PSTN) có ở Bảng 4.4. Bên trong hệ thống,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ngắn hạn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authorizer);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672400" cy="5219889"/>
            <wp:docPr id="4" name="Picture 4"/>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8672400" cy="5219889"/>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5" name="Picture 5"/>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6" name="Picture 6"/>
            <wp:cNvGraphicFramePr>
              <a:graphicFrameLocks noChangeAspect="1"/>
            </wp:cNvGraphicFramePr>
            <a:graphic>
              <a:graphicData uri="http://schemas.openxmlformats.org/drawingml/2006/picture">
                <pic:pic>
                  <pic:nvPicPr>
                    <pic:cNvPr id="0" name="image.png"/>
                    <pic:cNvPicPr/>
                  </pic:nvPicPr>
                  <pic:blipFill>
                    <a:blip r:embed="rId101"/>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196526"/>
            <wp:docPr id="7" name="Picture 7"/>
            <wp:cNvGraphicFramePr>
              <a:graphicFrameLocks noChangeAspect="1"/>
            </wp:cNvGraphicFramePr>
            <a:graphic>
              <a:graphicData uri="http://schemas.openxmlformats.org/drawingml/2006/picture">
                <pic:pic>
                  <pic:nvPicPr>
                    <pic:cNvPr id="0" name="image.png"/>
                    <pic:cNvPicPr/>
                  </pic:nvPicPr>
                  <pic:blipFill>
                    <a:blip r:embed="rId102"/>
                    <a:stretch>
                      <a:fillRect/>
                    </a:stretch>
                  </pic:blipFill>
                  <pic:spPr>
                    <a:xfrm>
                      <a:off x="0" y="0"/>
                      <a:ext cx="8892000" cy="519652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vị trí hiện thực trong mã nguồn của từng sequence ở Bảng 5.8. Số trong ngoặc tròn tương ứng với luồng trên Hình 4.2 đến Hình 4.4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64"/>
        <w:gridCol w:w="2494"/>
        <w:gridCol w:w="30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tuyến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795"/>
        <w:gridCol w:w="2398"/>
        <w:gridCol w:w="2836"/>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và lược đồ công cụ của loại phiên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(kèm enforce_arrival với các trạng thái cần có mặt tại chỗ); thời gian chờ 8 giây</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96"/>
        <w:gridCol w:w="2516"/>
        <w:gridCol w:w="242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11"/>
        <w:gridCol w:w="2381"/>
        <w:gridCol w:w="274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532"/>
        <w:gridCol w:w="2994"/>
        <w:gridCol w:w="2516"/>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5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9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5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9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5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9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lặp theo con trỏ phân trang</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9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9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có chỉ số chỉ tính vào phần hoạt động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5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9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riêng từng cặp (câu tài xế, câu trả lời) trong một mẫu cố định theo ngày, kèm tên các công cụ đã trả dữ liệu trong phiên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9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chấm cố định theo ngày nên lập lại cho cùng kết quả</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5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9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9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9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thành phần hiện thực chức năng liên lạc hội thoại thời gian thực.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Tác nhân tải trước ngữ cảnh phiên và khởi động trước các thành phần (gói ngôn ngữ, mô hình phát hiện giọng nói) khi tiến trình khởi động để giảm độ trễ của lượt đầu tiên.</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4"/>
        <w:gridCol w:w="4399"/>
        <w:gridCol w:w="1428"/>
        <w:gridCol w:w="1836"/>
      </w:tblGrid>
      <w:tr>
        <w:trPr>
          <w:cantSplit/>
          <w:tblHeader w:val="true"/>
        </w:trPr>
        <w:tc>
          <w:tcPr>
            <w:tcW w:type="dxa" w:w="11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vốn được phát biểu cho giao diện đồ họa;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776386"/>
            <wp:docPr id="16" name="Picture 16"/>
            <wp:cNvGraphicFramePr>
              <a:graphicFrameLocks noChangeAspect="1"/>
            </wp:cNvGraphicFramePr>
            <a:graphic>
              <a:graphicData uri="http://schemas.openxmlformats.org/drawingml/2006/picture">
                <pic:pic>
                  <pic:nvPicPr>
                    <pic:cNvPr id="0" name="image.png"/>
                    <pic:cNvPicPr/>
                  </pic:nvPicPr>
                  <pic:blipFill>
                    <a:blip r:embed="rId116"/>
                    <a:stretch>
                      <a:fillRect/>
                    </a:stretch>
                  </pic:blipFill>
                  <pic:spPr>
                    <a:xfrm>
                      <a:off x="0" y="0"/>
                      <a:ext cx="5220000" cy="27763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lựa chọn kiến trúc microservices từ các yêu cầu phi chức năng và chiến thuật kiến trúc tương ứng, trình bày kiến trúc tổng thể trên AWS và bốn mô hình luồng hành vi theo bốn nhóm người sử dụng, phân chia hệ thống thành các dịch vụ theo năng lực nghiệp vụ, mô tả luồng hoạt động chính của từng dịch vụ bằng bảy sequence diagram, thiết kế Dịch vụ Liên lạc hội thoại thời gian thực, các cơ chế bảo đảm khả năng phục hồi, bảo mật, khả năng quan sát và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dùng cho luận văn: commit aa05ba7, ngày 11/10/2026).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và tên thành phần tương ứng dùng trong luận văn.</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lược đồ công cụ của loại phiên. Mô-đun nhận dạng ý định (processors/intent_classify.py, processors/spoken_intent.py) chỉ gán nhãn cho phát ngôn để loại bỏ mảnh nhận dạng thừa ở cuối câu và nhận biết câu xác nhận cho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Gọi khách là thao tác ra bên ngoài và không hoàn tác được, nên có thêm một lớp chặn riêng. Công cụ call_customer có tham số bắt buộc intent_clarity nhận giá trị explicit hoặc ambiguous. Mô hình chỉ điền explicit khi ở lượt vừa rồi tài xế nói rõ muốn gọi, nhắn hoặc báo khách, hoặc vừa đồng ý câu hỏi gọi của trợ lý. Mọi trường hợp khác, kể cả khi thiếu tham số, tác nhân không quay số mà hỏi lại "Bạn muốn mình gọi cho {tên khách} không?" và ghi một hành động chờ (processors/call_intent.py). Hành động chờ chỉ chạy khi lượt kế tiếp là câu đồng ý; nó bị hủy khi tài xế nói sang chuyện khác hoặc sau 30 giây. Lớp chặn được bổ sung sau một phiên thử ngày 18/10/2026: câu hỏi gợi ý của trợ lý ("xem chuyến đang chạy hay cần gọi khách…?") bị bộ nhận dạng coi là lời hứa gọi, và câu "Ok." của tài xế cho một chủ đề khác đã khởi động cuộc gọi. Vì nhãn do mô hình tự điền vẫn có thể sai, tác nhân còn tự kiểm tra lời tài xế: câu còn phân vân ("hay là gọi khách nhỉ?", "có nên gọi không?", "maybe call…") luôn được hỏi lại dù mô hình ghi explicit; trong buổi quay video hướng dẫn, câu "Hay là gọi khách nhỉ?" từng được mô hình đánh dấu explicit và quay số ngay. Câu nói của trợ lý chỉ tạo hành động chờ gọi khách khi đó là lời hứa ở ngôi thứ nhất ("mình gọi…") hoặc một câu hỏi mời gọi, không phải khi trợ lý chỉ nhắc tới việc gọi khách trong lời khuyên. Tài xế có thể dừng cuộc gọi do trợ lý thực hiện bất cứ lúc nào bằng nút Czen (hộp xác nhận "Huỷ cuộc gọi"). Trong cuộc gọi chế độ AI gọi hộ, đầu vào của phiên được chuyển sang đường SIP của khách nên cả giọng nói lẫn tin nhắn gõ của tài xế không tới được tác tử; vì vậy lệnh huỷ đi qua một kênh dữ liệu riêng (call_control), tác tử trả quyền về cho tác tử tài xế rồi ngắt đường dây của khách (processors/call_cancel.py). Ngoài ra, các dòng nhận dạng không phải tiếng nói như "Nhạc chuông" (âm báo chờ của cuộc gọi đi) bị bỏ qua để tác nhân không trả lời chúng (processors/stt_noise.py).</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spacing w:after="120" w:before="0" w:line="360" w:lineRule="auto"/>
        <w:ind w:firstLine="567"/>
        <w:jc w:val="both"/>
      </w:pPr>
      <w:r>
        <w:rPr>
          <w:rFonts w:ascii="Times New Roman" w:hAnsi="Times New Roman" w:eastAsia="Times New Roman"/>
          <w:b w:val="0"/>
          <w:i w:val="0"/>
          <w:color w:val="000000"/>
          <w:sz w:val="26"/>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không lưu trong kho mã; dịch vụ tự dựng lại chỉ mục khi chưa có hoặc khi sổ tay mới hơn chỉ mục (app/rag/build.py), và image Docker có kèm sổ tay. Trước thay đổi này, môi trường chạy thật chưa từng có chỉ mục nên mọi câu hỏi hướng dẫn đều nhận câu "Sổ tay hướng dẫn tạm thời không khả dụng".</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hàm factory trong app/providers/__init__.py theo biến cấu hình STT_PROVIDER, LLM_PROVIDER, TTS_PROVIDER. Khi cấu hình thêm nhà cung cấp dự phòng (STT_FALLBACK, LLM_FALLBACK, TTS_FALLBACK), factory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vào biến ngữ cảnh (ContextVar), nên mọi tác vụ phát sinh sau đó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ảnh chụp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Mẫu độ trễ được gửi nguyên để phân vị của cả ngày được tính đúng, không lấy trung bình của các phân vị.</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là nguồn dữ liệu chuẩn cho chuyến đi và là điểm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trạng thái đòi tài xế có mặt tại chỗ (arrived_pickup, picked_up, completed) chỉ được ghi khi tài xế cách điểm đón, hoặc điểm trả với completed, không quá 200 m (ARRIVAL_RADIUS_METERS), đủ để trừ sai số GPS và sai số tra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với vị trí GPS mới nhất mà ứng dụng đã gửi; chuyến chỉ có địa chỉ dạng văn bản được tra tọa độ ngay lúc kiểm.</w:t>
      </w:r>
    </w:p>
    <w:p>
      <w:pPr>
        <w:spacing w:after="120" w:before="0" w:line="360" w:lineRule="auto"/>
        <w:ind w:firstLine="567"/>
        <w:jc w:val="both"/>
      </w:pPr>
      <w:r>
        <w:rPr>
          <w:rFonts w:ascii="Times New Roman" w:hAnsi="Times New Roman" w:eastAsia="Times New Roman"/>
          <w:b w:val="0"/>
          <w:i w:val="0"/>
          <w:color w:val="000000"/>
          <w:sz w:val="26"/>
        </w:rPr>
        <w:t>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cổng lưu trữ (services/events/store.ts) có hai bộ điều hợp: bảng DynamoDB channel-events khi cấu hình EVENTS_TABLE (môi trường triển khai),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có phân trang bằng con trỏ, và tự chuyển sang quét có lọc khi bảng cũ chưa có chỉ mục.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thuần, bộ chấm LLM trên mẫu cố định theo ngày (xáo trộn có hạt giống là ngày báo cáo nên lập lại cho cùng kết quả), cổng lưu trữ với bộ điều hợp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ảnh chụp cấu hình tác nhân được đóng gói lúc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còn mọi lời gọi tìm địa chỉ, chỉ đường và ma trận khoảng cách đi qua backend (luồng ㉓), nên khóa API dịch vụ bản đồ chỉ nằm ở backend. Mô-đun services/mapsService.ts là một lớp trừu tượng nhà cung cấp, cùng ý tưởng với lớp trừu tượng nhà cung cấp AI ở mục 5.3.4: hai bộ điều hợp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bằng heuristic láng giềng gần nhất kết hợp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vì chặng đầu (từ xe tới điểm dừng thứ nhất) đo từ vị trí lúc tính, khi xe đã đi xa hơn 150 m dịch vụ ước lượng lại riêng chặng này từ vị trí GPS mới nhất theo tỷ lệ đường bộ trên đường chim bay của chặng gốc (mặc định 1,3 với chặng ngắn) mà không gọi thêm nhà cung cấp bản đồ, để thẻ điểm dừng, tab Chuyến và câu trả lời "còn bao xa" của trợ lý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theo quy ước của các ứng dụng gọi xe.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49600" cy="5760000"/>
            <wp:docPr id="17" name="Picture 17"/>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49600" cy="5760000"/>
            <wp:docPr id="18" name="Picture 18"/>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thời hạn được nâng từ 20 lên 30 giây vì trợ lý đọc chuyến mới ngay khi phòng thoại kết nối, có lúc 10–16 giây sau khi bảng hiện ra, và tác nhân chỉ đọc khi điện thoại tài xế đã vào phòng để lời đọc không rơi vào phòng trống; bảng này luôn nằm trên cùng, kể cả khi khung trợ lý đang mở.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chào cho tới lượt nói đầu tiên của tài xế (Hình 5.4).</w:t>
      </w:r>
    </w:p>
    <w:p>
      <w:pPr>
        <w:keepNext/>
        <w:spacing w:before="120" w:after="120"/>
        <w:jc w:val="center"/>
      </w:pPr>
      <w:r>
        <w:drawing>
          <wp:inline xmlns:a="http://schemas.openxmlformats.org/drawingml/2006/main" xmlns:pic="http://schemas.openxmlformats.org/drawingml/2006/picture">
            <wp:extent cx="2649600" cy="5760000"/>
            <wp:docPr id="19" name="Picture 19"/>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49600" cy="5760000"/>
            <wp:docPr id="20" name="Picture 20"/>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tài xế chọn câu gợi ý nhanh, trợ lý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49600" cy="5760000"/>
            <wp:docPr id="21" name="Picture 21"/>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trong ngày</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ngày 18/10/2026 của môi trường phát triển: 52 phiên (28 phiên tài xế và 24 cuộc gọi khách chạy nền) của một tài khoản tài xế thử nghiệm; 23 lượt có đo độ trễ, trung bình 1,08 giây và P95 3,92 giây (không đạt ngưỡng 2 giây của NFR-02); toàn bộ lời gọi công cụ thành công. Mô hình chấm (gpt-4o-mini) chấm riêng từng lượt trong mẫu 30 lượt, kèm danh sách công cụ đã trả dữ liệu trong phiên để không coi số liệu lấy từ công cụ là bịa: 21 đúng, 6 sai, 3 không rõ (tỷ lệ 77,8%). Các câu bị chấm sai chỉ ra hai lỗi thật, đã được sửa sau đó: chỉ mục sổ tay hướng dẫn chưa được dựng nên câu hỏi về cách dùng ứng dụng nhận câu "Sổ tay hướng dẫn tạm thời không khả dụng", và câu trả lời khi tài xế chỉ có một chuyến không nêu số lượng. Dòng "API lỗi nhiều nhất" cho thấy lời gọi lấy lại tóm tắt sau mỗi cuộc gọi khách luôn trả mã 404 vì bản ghi chưa kịp lưu; lời gọi thừa này cũng đã được bỏ. Số liệu một ngày của một tài xế thử nghiệm chỉ minh họa cách đọc báo cáo, không dùng để đánh giá chất lượng ở Chương 6.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4989600" cy="5760821"/>
            <wp:docPr id="22" name="Picture 22"/>
            <wp:cNvGraphicFramePr>
              <a:graphicFrameLocks noChangeAspect="1"/>
            </wp:cNvGraphicFramePr>
            <a:graphic>
              <a:graphicData uri="http://schemas.openxmlformats.org/drawingml/2006/picture">
                <pic:pic>
                  <pic:nvPicPr>
                    <pic:cNvPr id="0" name="image.png"/>
                    <pic:cNvPicPr/>
                  </pic:nvPicPr>
                  <pic:blipFill>
                    <a:blip r:embed="rId117"/>
                    <a:stretch>
                      <a:fillRect/>
                    </a:stretch>
                  </pic:blipFill>
                  <pic:spPr>
                    <a:xfrm>
                      <a:off x="0" y="0"/>
                      <a:ext cx="4989600" cy="576082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18/10/2026)</w:t>
      </w:r>
    </w:p>
    <w:p>
      <w:pPr>
        <w:keepNext/>
        <w:spacing w:before="120" w:after="120"/>
        <w:jc w:val="center"/>
      </w:pPr>
      <w:r>
        <w:drawing>
          <wp:inline xmlns:a="http://schemas.openxmlformats.org/drawingml/2006/main" xmlns:pic="http://schemas.openxmlformats.org/drawingml/2006/picture">
            <wp:extent cx="5220000" cy="2643715"/>
            <wp:docPr id="23" name="Picture 23"/>
            <wp:cNvGraphicFramePr>
              <a:graphicFrameLocks noChangeAspect="1"/>
            </wp:cNvGraphicFramePr>
            <a:graphic>
              <a:graphicData uri="http://schemas.openxmlformats.org/drawingml/2006/picture">
                <pic:pic>
                  <pic:nvPicPr>
                    <pic:cNvPr id="0" name="image.png"/>
                    <pic:cNvPicPr/>
                  </pic:nvPicPr>
                  <pic:blipFill>
                    <a:blip r:embed="rId118"/>
                    <a:stretch>
                      <a:fillRect/>
                    </a:stretch>
                  </pic:blipFill>
                  <pic:spPr>
                    <a:xfrm>
                      <a:off x="0" y="0"/>
                      <a:ext cx="5220000" cy="26437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18/10/2026)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Như vậy,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16"/>
        <w:gridCol w:w="5871"/>
      </w:tblGrid>
      <w:tr>
        <w:trPr>
          <w:cantSplit/>
          <w:tblHeader w:val="true"/>
        </w:trPr>
        <w:tc>
          <w:tcPr>
            <w:tcW w:type="dxa" w:w="291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8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xử lý đơn (ADR-02)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Mô hình gpt-5.6-luna là mô hình họ GPT truy cập qua giao diện tương thích OpenAI (bí danh nội bộ của dự án);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F.</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P95 của các thí nghiệm có lặp lại kèm khoảng tin cậy 95% bằng bootstrap.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chưa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để tránh bộ khử tiếng vọng của điện thoại loại bỏ tín hiệu.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hư từ ngắn.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cỡ mẫu khoảng 39 lượt, khoảng tin cậy 95% theo phương pháp Wilson của tỷ lệ chọn đúng công cụ (khoảng 34/39 lượt) là 73%–94%, của tỷ lệ hoàn thành ngay lần đầu (khoảng 30/39 lượt) là 62%–87%. Khoảng tin cậy rộng cho thấy cần mẫu lớn hơn trước khi so sánh giữa các nhóm nghiệp vụ.</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đợt đánh giá có gắn nhãn, kịch bản mù và ít nhất hai người đánh giá.</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15"/>
        <w:gridCol w:w="2906"/>
        <w:gridCol w:w="1768"/>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cổng tạm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cả hai bị che bởi giới hạn của bộ giả lập trên một máy.</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Máy chủ LiveKit dùng tối đa 6% (1 phiên) đến 48% (40 phiên) một nhân CPU.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Các kết quả này kiểm chứng tính chất mở rộng của kiến trúc trên một máy thí nghiệm với nhà cung cấp AI giả lập, chưa phải năng lực tải của hệ thống trên AWS (mục 6.13).</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không có ngoại lệ thoát ra ngoài công cụ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độ phân giải nhật ký 1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Bộ kiểm thử tự động của tác nhân tại ngày 2026-09-06: 451/452 ca đạt (ca còn lại kiểm tra độ dài lời nhắc hệ thống); tại ngày 2026-09-27, sau khi bổ sung chỉ số phiên và dự phòng nhà cung cấp: 476/476 ca đạt; tại ngày 2026-10-18, sau khi bổ sung lớp chặn ý định gọi khách, quy tắc có mặt tại chỗ 200 m và xử lý gọi lại khi khách không nghe máy: 583/583 ca đạt; cuối cùng ngày, sau các lỗi phát hiện khi quay video hướng dẫn trên simulator (lời đọc chuyến mới rơi vào phòng trống, phiên bị đóng khi tài xế gõ chữ, câu phân vân vẫn quay số, câu hỏi hướng dẫn không có chỉ mục, câu trả lời về quãng đường, cước và hành lý thiếu dữ liệu): 613/613 ca đạt; sau khi bổ sung huỷ cuộc gọi từ ứng dụng và không gọi lại chuyến đã kết thúc: 633/633 ca đạt. Lớp chặn gọi khách còn được kiểm bằng bài đánh giá với mô hình thật (app/voicebot/testing/call_intent_eval.py, gpt-5.6-luna, 7 tình huống x 3 lần): 20/21 lượt đúng; mọi câu mơ hồ ("cần lắm… ngay lúc này", "không biết", "Ok." sau một chủ đề khác) không tạo cuộc gọi, và lượt sai duy nhất là mô hình hỏi lại một yêu cầu đã rõ ràng. Kết quả đạt trường hợp kiểm thử chứng minh luồng khách hàng hoạt động trong phạm vi đã thiết kế, không suy ra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có cùng ràng buộc đón trước trả. Mỗi bộ dữ liệu gồm vị trí tài xế và 2 đến 4 chuyến (4 đến 8 điểm dừng), sinh ngẫu nhiên với hạt giống cố định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kém tối ưu tới khoảng 50% do bị kẹt ở cực tiểu địa phương của 2-opt.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5"/>
        <w:gridCol w:w="1874"/>
        <w:gridCol w:w="4596"/>
        <w:gridCol w:w="1142"/>
      </w:tblGrid>
      <w:tr>
        <w:trPr>
          <w:cantSplit/>
          <w:tblHeader w:val="true"/>
        </w:trPr>
        <w:tc>
          <w:tcPr>
            <w:tcW w:type="dxa" w:w="1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5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Khoảng 88% lượt chọn đúng công cụ (KTC 95%: 73%–94%), 77% hoàn thành ngay lần đầu (62%–87%); n ≈ 39</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khoảng 39 lượt, khoảng 88% lượt chọn đúng công cụ và 77%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Biện pháp: tiêu chí chấm được cố định trước (Bảng 6.9, Bảng 6.10). Rủi ro còn lại: thiên lệch người chấm; cần ít nhất hai người chấm độc lập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lạnh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khoảng 39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F).</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từng tiêu chí được tổng hợp ở Bảng 6.17 và thảo luận theo câu hỏi nghiên cứu ở mục 6.12. Điểm chính là: khả năng phục hồi đạt ở mức thành phần và khả năng mở rộng đạt trong môi trường mô phỏng; hai lỗi hiện thực về tính khả dụng và bảo mật nhật ký đã được sửa và đạt khi kiểm tra lại; độ trễ phản hồi của luồng qua LLM (P95 = 3,75 giây) là kết quả không đạt duy nhất còn lại. Mọi kết quả đều kèm cỡ mẫu và giới hạn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trọn chu trình nghiên cứu khoa học thiết kế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Khoảng 88% lượt chọn đúng công cụ và 77% hoàn thành ngay lần đầu (n ≈ 39);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với chuỗi xử lý theo tầng, độ trễ phản hồi bị chi phối bởi mô hình ngôn ngữ bên ngoài chứ không bởi cách chia dịch vụ.</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gửi thử thật và đo tỷ lệ giao tin (mục 6.13).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Xác thực chữ ký X-Twilio-Signature ở các địa chỉ nhận thông báo từ Twilio để chặn sự kiện giả (mục 6.13).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tái lập số liệu thực nghiệm; G — bảng thuật ngữ Anh – Việt.</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(trong đó confirm_trip và reject_trip cũng là tập công cụ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gọi số tự do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tự do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nhận một chuyến đi mới (đang chờ/thông báo,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khoảng từ hai giây, hệ thống có thể xen câu giữ chỗ ngắn trước câu trả lời thật.</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49600" cy="5760000"/>
            <wp:docPr id="26" name="Picture 26"/>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7" name="Picture 27"/>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Bảng mời nhận chuyến: cước ước tính, vòng đếm ngược 30 giây, thông tin khách và lộ trình; bảng nằm trên cả khung trợ lý đang đọc chuyến mới.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8" name="Picture 28"/>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Khung trợ lý ở trạng thái đang kết nối, kèm các câu gợi ý nhanh.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9" name="Picture 29"/>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Câu gợi ý nhanh nằm dưới lời chào của trợ lý cho tới lượt nói đầu tiên của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0" name="Picture 30"/>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Cài đặt trợ lý: ngôn ngữ, chế độ gọi khách mặc định, chế độ rảnh tay và nhắc khách khi gần điểm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1" name="Picture 31"/>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Cài đặt trợ lý: chọn bán kính nhắc khách (500 m, 1 km, 2 km, 3 km) và gợi ý điểm dừng tiếp theo.</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2" name="Picture 32"/>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3" name="Picture 33"/>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4" name="Picture 34"/>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Tài xế tự tạo chuyến cho khách vãng lai.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5" name="Picture 35"/>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Hồ sơ tài xế và các chỉ số vận hành tính trên toàn bộ lịch sử chuyến (đánh giá, số chuyến, tỷ lệ nhận, tỷ lệ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6" name="Picture 36"/>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Thu nhập theo kỳ, biểu đồ 7 ngày và lịch sử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37" name="Picture 37"/>
            <wp:cNvGraphicFramePr>
              <a:graphicFrameLocks noChangeAspect="1"/>
            </wp:cNvGraphicFramePr>
            <a:graphic>
              <a:graphicData uri="http://schemas.openxmlformats.org/drawingml/2006/picture">
                <pic:pic>
                  <pic:nvPicPr>
                    <pic:cNvPr id="0" name="image.png"/>
                    <pic:cNvPicPr/>
                  </pic:nvPicPr>
                  <pic:blipFill>
                    <a:blip r:embed="rId119"/>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38" name="Picture 38"/>
            <wp:cNvGraphicFramePr>
              <a:graphicFrameLocks noChangeAspect="1"/>
            </wp:cNvGraphicFramePr>
            <a:graphic>
              <a:graphicData uri="http://schemas.openxmlformats.org/drawingml/2006/picture">
                <pic:pic>
                  <pic:nvPicPr>
                    <pic:cNvPr id="0" name="image.png"/>
                    <pic:cNvPicPr/>
                  </pic:nvPicPr>
                  <pic:blipFill>
                    <a:blip r:embed="rId120"/>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39" name="Picture 39"/>
            <wp:cNvGraphicFramePr>
              <a:graphicFrameLocks noChangeAspect="1"/>
            </wp:cNvGraphicFramePr>
            <a:graphic>
              <a:graphicData uri="http://schemas.openxmlformats.org/drawingml/2006/picture">
                <pic:pic>
                  <pic:nvPicPr>
                    <pic:cNvPr id="0" name="image.png"/>
                    <pic:cNvPicPr/>
                  </pic:nvPicPr>
                  <pic:blipFill>
                    <a:blip r:embed="rId121"/>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40" name="Picture 40"/>
            <wp:cNvGraphicFramePr>
              <a:graphicFrameLocks noChangeAspect="1"/>
            </wp:cNvGraphicFramePr>
            <a:graphic>
              <a:graphicData uri="http://schemas.openxmlformats.org/drawingml/2006/picture">
                <pic:pic>
                  <pic:nvPicPr>
                    <pic:cNvPr id="0" name="image.png"/>
                    <pic:cNvPicPr/>
                  </pic:nvPicPr>
                  <pic:blipFill>
                    <a:blip r:embed="rId122"/>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1" name="Picture 41"/>
            <wp:cNvGraphicFramePr>
              <a:graphicFrameLocks noChangeAspect="1"/>
            </wp:cNvGraphicFramePr>
            <a:graphic>
              <a:graphicData uri="http://schemas.openxmlformats.org/drawingml/2006/picture">
                <pic:pic>
                  <pic:nvPicPr>
                    <pic:cNvPr id="0" name="image.png"/>
                    <pic:cNvPicPr/>
                  </pic:nvPicPr>
                  <pic:blipFill>
                    <a:blip r:embed="rId123"/>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2" name="Picture 42"/>
            <wp:cNvGraphicFramePr>
              <a:graphicFrameLocks noChangeAspect="1"/>
            </wp:cNvGraphicFramePr>
            <a:graphic>
              <a:graphicData uri="http://schemas.openxmlformats.org/drawingml/2006/picture">
                <pic:pic>
                  <pic:nvPicPr>
                    <pic:cNvPr id="0" name="image.png"/>
                    <pic:cNvPicPr/>
                  </pic:nvPicPr>
                  <pic:blipFill>
                    <a:blip r:embed="rId124"/>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3" name="Picture 43"/>
            <wp:cNvGraphicFramePr>
              <a:graphicFrameLocks noChangeAspect="1"/>
            </wp:cNvGraphicFramePr>
            <a:graphic>
              <a:graphicData uri="http://schemas.openxmlformats.org/drawingml/2006/picture">
                <pic:pic>
                  <pic:nvPicPr>
                    <pic:cNvPr id="0" name="image.png"/>
                    <pic:cNvPicPr/>
                  </pic:nvPicPr>
                  <pic:blipFill>
                    <a:blip r:embed="rId125"/>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4" name="Picture 44"/>
            <wp:cNvGraphicFramePr>
              <a:graphicFrameLocks noChangeAspect="1"/>
            </wp:cNvGraphicFramePr>
            <a:graphic>
              <a:graphicData uri="http://schemas.openxmlformats.org/drawingml/2006/picture">
                <pic:pic>
                  <pic:nvPicPr>
                    <pic:cNvPr id="0" name="image.png"/>
                    <pic:cNvPicPr/>
                  </pic:nvPicPr>
                  <pic:blipFill>
                    <a:blip r:embed="rId126"/>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C.19.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45" name="Picture 45"/>
            <wp:cNvGraphicFramePr>
              <a:graphicFrameLocks noChangeAspect="1"/>
            </wp:cNvGraphicFramePr>
            <a:graphic>
              <a:graphicData uri="http://schemas.openxmlformats.org/drawingml/2006/picture">
                <pic:pic>
                  <pic:nvPicPr>
                    <pic:cNvPr id="0" name="image.png"/>
                    <pic:cNvPicPr/>
                  </pic:nvPicPr>
                  <pic:blipFill>
                    <a:blip r:embed="rId127"/>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C.20.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C.10 đến C.14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C.15 đến C.17</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room và conv</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F.1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F.1.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(529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G.1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G.1.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74"/>
        <w:gridCol w:w="3190"/>
        <w:gridCol w:w="2823"/>
      </w:tblGrid>
      <w:tr>
        <w:trPr>
          <w:cantSplit/>
          <w:tblHeader w:val="true"/>
        </w:trPr>
        <w:tc>
          <w:tcPr>
            <w:tcW w:type="dxa" w:w="2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1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