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18/10/2026)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18/10/2026)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G.1.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dữ liệu ghi lại từ xe của hàng nghìn người lái trong điều kiện đi lại hằng ngày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lời mà còn chọn một chức năng của hệ thống (ví dụ "xác nhận chuyến") kèm tham số, để phần mềm thực hiện chức năng đó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dành riêng cho công việc của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hai kênh: trong ứng dụng tài xế (WebRTC) và qua cuộc gọi điện thoại thường (SIP), kênh thứ hai dùng khi hệ thống gọi cho tài xế hoặc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vụ phù hợp.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công cụ và tỷ lệ hoàn thành nghiệp vụ được báo cáo theo nhóm kịch bản; ngưỡng của khả năng mở rộng và khả năng phục hồi nêu cùng yêu cầu phi chức năng ở Chương 3. Cách đo cụ thể của từng chỉ số trình bày ở mục 6.3.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57"/>
        <w:gridCol w:w="1186"/>
        <w:gridCol w:w="4556"/>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chính xác gọi công cụ, tỷ lệ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trong điều kiện nhân tạo trước, chưa cần người dùng thật (kiểm thử tự động, môi trường mô phỏng, bộ câu tham chiếu), để phát hiện sớm các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thủ công việc trợ lý chọn đúng công cụ trên bộ kịch bản soạn sẵn.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cố ý làm một thành phần bị lỗi để xem hệ thống phản ứng ra sao)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một mã (ví dụ FR-T01, NFR-02) và được theo dõi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cách tái lập số liệu và bảng thuật ngữ)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tự bịa ra thông tin không có trong dữ liệu (hiện tượng hallucination) chỉ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một đường kết nối (SIP trunk) tới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dùng lại phần truyền âm thanh của nền tảng này thay vì tự xây dựng.</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lập trình bên trong.</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của sách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83"/>
        <w:gridCol w:w="2296"/>
        <w:gridCol w:w="5007"/>
      </w:tblGrid>
      <w:tr>
        <w:trPr>
          <w:cantSplit/>
          <w:tblHeader w:val="true"/>
        </w:trPr>
        <w:tc>
          <w:tcPr>
            <w:tcW w:type="dxa" w:w="14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(audit)</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dịch vụ theo chức năng và trục Z chia dữ liệu thành nhiều phần theo một khóa (ví dụ theo khu vực).</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xao nhãng đến mức không nên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điều tài xế tới khu vực có nhiều khách,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cách đo cụ thể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cùng mục tiêu đó,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ba loại. Thứ nhất là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và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Thứ hai là tài liệu nội bộ của dự án: tài liệu yêu cầu, sổ tay hướng dẫn sử dụng và bộ kịch bản hội thoại mẫu (Phụ lục B). Thứ ba là các ràng buộc an toàn khi lái (mục 2.8). Mọi mã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cuộc gọi này chỉ nhằm để tài xế quyết định nhanh có nhận chuyến hay không, không mở toàn bộ chức năng như khi tài xế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79"/>
        <w:gridCol w:w="3464"/>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nói rõ là chưa có thông tin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"đã cập nhật" sau khi hệ thống đã lưu trạng thái mới</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 (khách vẫy xe dọc đường, không đặt trước)</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773"/>
        <w:gridCol w:w="3997"/>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đã gia hạn sau khi hệ thống đã lưu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chỉ ghi nhận sau khi tài xế xác nhận lại</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trạng thái mới sau khi hệ thống đã lưu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12"/>
        <w:gridCol w:w="330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3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đủ số điện thoại để điều phối viên liên lạc; 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 ở các chương khác;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197"/>
        <w:gridCol w:w="1751"/>
        <w:gridCol w:w="1390"/>
        <w:gridCol w:w="1780"/>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1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3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chuyến: báo chưa có chuyến hoặc tải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điều kiện (ví dụ còn cách điểm đón hơn 200 m):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đặc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mã nguồn có làm đúng thiết kế hay không.</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834"/>
        <w:gridCol w:w="1949"/>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19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(mã định danh của phòng hội thoại) trên nhật ký để theo dõi và tìm nguyên nhân lỗi</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04"/>
        <w:gridCol w:w="1295"/>
        <w:gridCol w:w="1841"/>
        <w:gridCol w:w="4346"/>
      </w:tblGrid>
      <w:tr>
        <w:trPr>
          <w:cantSplit/>
          <w:tblHeader w:val="true"/>
        </w:trPr>
        <w:tc>
          <w:tcPr>
            <w:tcW w:type="dxa" w:w="1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2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3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(tải sẵn chuyến, cài đặt và dữ liệu liên quan của tài xế) khi mở phiên; dùng lại kết nối HTTP; tránh gọi lại API cho dữ liệu đã có trong phiên</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các API nghiệp vụ</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định kỳ bản sao tác nhân còn hoạt động (health check); bắt lỗi và hết thời gian chờ khi gọi API; chỉ số phiên và báo cáo ngày</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đối tượng truy cập</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(audit)</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99"/>
        <w:gridCol w:w="1004"/>
        <w:gridCol w:w="3177"/>
        <w:gridCol w:w="3407"/>
      </w:tblGrid>
      <w:tr>
        <w:trPr>
          <w:cantSplit/>
          <w:tblHeader w:val="true"/>
        </w:trPr>
        <w:tc>
          <w:tcPr>
            <w:tcW w:type="dxa" w:w="11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4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đối tượng truy cập, giới hạn truy cập)</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 (modular monolith):</w:t>
      </w:r>
      <w:r>
        <w:rPr>
          <w:rFonts w:ascii="Times New Roman" w:hAnsi="Times New Roman" w:eastAsia="Times New Roman"/>
          <w:b w:val="0"/>
          <w:color w:val="000000"/>
          <w:sz w:val="26"/>
        </w:rPr>
        <w:t xml:space="preserve"> vẫn triển khai thành một khối duy nhất, nhưng mã nguồn bên trong được chia thành các mô-đun tách biệt.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giữ bản chính thức của dữ liệu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52"/>
        <w:gridCol w:w="2816"/>
        <w:gridCol w:w="2742"/>
        <w:gridCol w:w="977"/>
      </w:tblGrid>
      <w:tr>
        <w:trPr>
          <w:cantSplit/>
          <w:tblHeader w:val="true"/>
        </w:trPr>
        <w:tc>
          <w:tcPr>
            <w:tcW w:type="dxa" w:w="22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danh sách mẫu câu</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81200" cy="5220150"/>
            <wp:docPr id="3" name="Picture 3"/>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8881200" cy="5220150"/>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Conversational AI,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tính năng authorizer của API Gateway);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672400" cy="5219889"/>
            <wp:docPr id="4" name="Picture 4"/>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8672400" cy="5219889"/>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5" name="Picture 5"/>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6" name="Picture 6"/>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196526"/>
            <wp:docPr id="7" name="Picture 7"/>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8892000" cy="519652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395"/>
        <w:gridCol w:w="2425"/>
        <w:gridCol w:w="3221"/>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3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2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2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đường dẫn được chuyển nguyên cho dịch vụ (cấu hình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01"/>
        <w:gridCol w:w="2589"/>
        <w:gridCol w:w="2739"/>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(system prompt: đoạn chỉ dẫn cố định về vai trò và quy tắc của trợ lý) và danh sách công cụ được phép trong loại phiên này</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24"/>
        <w:gridCol w:w="2645"/>
        <w:gridCol w:w="237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6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3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 (đại diện cho cuộc gọi điện thoại bên trong phòng)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830"/>
        <w:gridCol w:w="2538"/>
        <w:gridCol w:w="267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8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 (Twilio gọi ngược vào địa chỉ của dịch vụ để báo trạng thái gửi)</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18"/>
        <w:gridCol w:w="2930"/>
        <w:gridCol w:w="2692"/>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9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lấy lần lượt từng trang 500 bản ghi cho tới hết</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không có chỉ số phiên chỉ được tính vào nhóm hoạt động (số phiên, số tài xế, số lượt, thời lượng), không tính vào độ trễ và tỷ lệ công cụ</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riêng từng cặp (câu tài xế, câu trả lời) trong một mẫu cố định theo ngày, kèm tên các công cụ đã trả dữ liệu trong phiên</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được chọn cố định theo ngày, nên khi lập lại báo cáo, mô hình chấm lại đúng các cặp câu đó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10"/>
        <w:gridCol w:w="4347"/>
        <w:gridCol w:w="1493"/>
        <w:gridCol w:w="1836"/>
      </w:tblGrid>
      <w:tr>
        <w:trPr>
          <w:cantSplit/>
          <w:tblHeader w:val="true"/>
        </w:trPr>
        <w:tc>
          <w:tcPr>
            <w:tcW w:type="dxa" w:w="11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đối tượng truy cập</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776386"/>
            <wp:docPr id="16" name="Picture 16"/>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220000" cy="27763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phải ghi rõ mức chắc chắn.</w:t>
      </w:r>
      <w:r>
        <w:rPr>
          <w:rFonts w:ascii="Times New Roman" w:hAnsi="Times New Roman" w:eastAsia="Times New Roman"/>
          <w:b w:val="0"/>
          <w:color w:val="000000"/>
          <w:sz w:val="26"/>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 tài xế nói sang chuyện khác hoặc sau 30 giây.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Tác nhân tự kiểm tra lại lời tài xế.</w:t>
      </w:r>
      <w:r>
        <w:rPr>
          <w:rFonts w:ascii="Times New Roman" w:hAnsi="Times New Roman" w:eastAsia="Times New Roman"/>
          <w:b w:val="0"/>
          <w:color w:val="000000"/>
          <w:sz w:val="26"/>
        </w:rPr>
        <w:t xml:space="preserve"> Vì nhãn do mô hình điền vẫn có thể sai, câu còn phân vân ("hay là gọi khách nhỉ?", "có nên gọi không?", "maybe call…") luôn được hỏi lại, kể cả khi mô hình ghi explicit. Trong buổi quay video hướng dẫn, câu "Hay là gọi khách nhỉ?" từng bị mô hình đánh dấu explicit và quay số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Chỉ lời hứa của trợ lý mới tạo hành động chờ.</w:t>
      </w:r>
      <w:r>
        <w:rPr>
          <w:rFonts w:ascii="Times New Roman" w:hAnsi="Times New Roman" w:eastAsia="Times New Roman"/>
          <w:b w:val="0"/>
          <w:color w:val="000000"/>
          <w:sz w:val="26"/>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 hủy được cuộc gọi bất cứ lúc nào</w:t>
      </w:r>
      <w:r>
        <w:rPr>
          <w:rFonts w:ascii="Times New Roman" w:hAnsi="Times New Roman" w:eastAsia="Times New Roman"/>
          <w:b w:val="0"/>
          <w:color w:val="000000"/>
          <w:sz w:val="26"/>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Bỏ qua âm thanh không phải tiếng nói.</w:t>
      </w:r>
      <w:r>
        <w:rPr>
          <w:rFonts w:ascii="Times New Roman" w:hAnsi="Times New Roman" w:eastAsia="Times New Roman"/>
          <w:b w:val="0"/>
          <w:color w:val="000000"/>
          <w:sz w:val="26"/>
        </w:rPr>
        <w:t xml:space="preserve"> Các dòng nhận dạng như "Nhạc chuông" (âm báo chờ khi đang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một hàm khởi tạo chung (factory) trong app/providers/__init__.py theo biến cấu hình STT_PROVIDER, 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giữ bản chính thức của dữ liệu chuyến đi và là nơi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nếu chuyến chỉ có địa chỉ dạng chữ, chưa có tọa độ, dịch vụ tra tọa độ ngay lúc kiểm tra.</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xế đã vào phòng thoại (để lời đọc không rơi vào phòng trống), và việc này có lúc diễn ra 10–16 giây sau khi bảng hiện ra.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 (gpt-4o-mini) chấm riêng từng lượt trong mẫu 30 lượt, kèm danh sách công cụ đã trả dữ liệu trong phiên để không coi số liệu lấy từ công cụ là bịa: 21 đúng, 6 sai, 3 không rõ (tỷ lệ 77,8%). Các 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4989600" cy="5760821"/>
            <wp:docPr id="22" name="Picture 22"/>
            <wp:cNvGraphicFramePr>
              <a:graphicFrameLocks noChangeAspect="1"/>
            </wp:cNvGraphicFramePr>
            <a:graphic>
              <a:graphicData uri="http://schemas.openxmlformats.org/drawingml/2006/picture">
                <pic:pic>
                  <pic:nvPicPr>
                    <pic:cNvPr id="0" name="image.png"/>
                    <pic:cNvPicPr/>
                  </pic:nvPicPr>
                  <pic:blipFill>
                    <a:blip r:embed="rId117"/>
                    <a:stretch>
                      <a:fillRect/>
                    </a:stretch>
                  </pic:blipFill>
                  <pic:spPr>
                    <a:xfrm>
                      <a:off x="0" y="0"/>
                      <a:ext cx="4989600" cy="576082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18/10/2026)</w:t>
      </w:r>
    </w:p>
    <w:p>
      <w:pPr>
        <w:keepNext/>
        <w:spacing w:before="120" w:after="120"/>
        <w:jc w:val="center"/>
      </w:pPr>
      <w:r>
        <w:drawing>
          <wp:inline xmlns:a="http://schemas.openxmlformats.org/drawingml/2006/main" xmlns:pic="http://schemas.openxmlformats.org/drawingml/2006/picture">
            <wp:extent cx="5220000" cy="2643715"/>
            <wp:docPr id="23" name="Picture 23"/>
            <wp:cNvGraphicFramePr>
              <a:graphicFrameLocks noChangeAspect="1"/>
            </wp:cNvGraphicFramePr>
            <a:graphic>
              <a:graphicData uri="http://schemas.openxmlformats.org/drawingml/2006/picture">
                <pic:pic>
                  <pic:nvPicPr>
                    <pic:cNvPr id="0" name="image.png"/>
                    <pic:cNvPicPr/>
                  </pic:nvPicPr>
                  <pic:blipFill>
                    <a:blip r:embed="rId118"/>
                    <a:stretch>
                      <a:fillRect/>
                    </a:stretch>
                  </pic:blipFill>
                  <pic:spPr>
                    <a:xfrm>
                      <a:off x="0" y="0"/>
                      <a:ext cx="5220000" cy="26437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18/10/2026)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91"/>
        <w:gridCol w:w="5797"/>
      </w:tblGrid>
      <w:tr>
        <w:trPr>
          <w:cantSplit/>
          <w:tblHeader w:val="true"/>
        </w:trPr>
        <w:tc>
          <w:tcPr>
            <w:tcW w:type="dxa" w:w="29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7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đi qua một luồng LLM duy nhất (ADR-02)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bộ giả lập trên một máy đã quá tải trước khi chạm tới các giới hạn đó.</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Các kết quả này kiểm chứng tính chất mở rộng của kiến trúc trên một máy thí nghiệm với nhà cung cấp AI giả lập, chưa phải năng lực tải của hệ thống trên AWS (mục 6.13).</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ca kiểm thử tự động của tác nhân tăng dần theo các lần sửa, và ở mỗi mốc đều đạt toàn bộ (trừ mốc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06/09/2026: 451/452 ca đạt (ca còn lại kiểm tra độ dài lời nhắc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27/09/2026, sau khi bổ sung chỉ số phiên và dự phòng nhà cung cấp: 476/476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18/10/2026, sau khi bổ sung lớp chặn ý định gọi khách, quy tắc có mặt tại chỗ 200 m và việc gọi lại khi khách không nghe máy: 583/583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Sau khi bổ sung việc hủy cuộc gọi từ ứng dụng và không gọi lại chuyến đã kết thúc: 633/633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19/10/2026, sau khi sửa cách chấm từng lượt của báo cáo ngày và lỗi nhật ký in hai lần tiền tố trong cuộc gọi: 635/635 ca đạt.</w:t>
      </w:r>
    </w:p>
    <w:p>
      <w:pPr>
        <w:spacing w:after="120" w:before="0" w:line="360" w:lineRule="auto"/>
        <w:ind w:firstLine="567"/>
        <w:jc w:val="both"/>
      </w:pPr>
      <w:r>
        <w:rPr>
          <w:rFonts w:ascii="Times New Roman" w:hAnsi="Times New Roman" w:eastAsia="Times New Roman"/>
          <w:b w:val="0"/>
          <w:i w:val="0"/>
          <w:color w:val="000000"/>
          <w:sz w:val="26"/>
        </w:rPr>
        <w:t>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hoạt động trong phạm vi đã thiết kế, nhưng không cho biết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F).</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gửi thử thật và đo tỷ lệ giao tin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Xác thực chữ ký X-Twilio-Signature ở các địa chỉ nhận thông báo từ Twilio để chặn sự kiện giả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gọi tới số do tài xế đọc ra,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do tài xế đọc ra,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một chuyến mới đang được mời mà tài xế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(phiên của ứng dụng khách hàng).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(phiên của ứng dụng khách hàng).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 Phần trong ngoặc vuông là ghi chú lấy từ nhật ký: khâu xử lý (LLM, công cụ được gọi), nhãn của mô-đun nhận dạng ý định (FollowUpKnowledge: câu hỏi tiếp về chuyến vừa nhắc; conversational_ack: câu đáp lễ) và độ trễ cảm nhận của lượt đó.</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7" name="Picture 37"/>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8" name="Picture 38"/>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39" name="Picture 39"/>
            <wp:cNvGraphicFramePr>
              <a:graphicFrameLocks noChangeAspect="1"/>
            </wp:cNvGraphicFramePr>
            <a:graphic>
              <a:graphicData uri="http://schemas.openxmlformats.org/drawingml/2006/picture">
                <pic:pic>
                  <pic:nvPicPr>
                    <pic:cNvPr id="0" name="image.png"/>
                    <pic:cNvPicPr/>
                  </pic:nvPicPr>
                  <pic:blipFill>
                    <a:blip r:embed="rId121"/>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0" name="Picture 40"/>
            <wp:cNvGraphicFramePr>
              <a:graphicFrameLocks noChangeAspect="1"/>
            </wp:cNvGraphicFramePr>
            <a:graphic>
              <a:graphicData uri="http://schemas.openxmlformats.org/drawingml/2006/picture">
                <pic:pic>
                  <pic:nvPicPr>
                    <pic:cNvPr id="0" name="image.png"/>
                    <pic:cNvPicPr/>
                  </pic:nvPicPr>
                  <pic:blipFill>
                    <a:blip r:embed="rId122"/>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1" name="Picture 41"/>
            <wp:cNvGraphicFramePr>
              <a:graphicFrameLocks noChangeAspect="1"/>
            </wp:cNvGraphicFramePr>
            <a:graphic>
              <a:graphicData uri="http://schemas.openxmlformats.org/drawingml/2006/picture">
                <pic:pic>
                  <pic:nvPicPr>
                    <pic:cNvPr id="0" name="image.png"/>
                    <pic:cNvPicPr/>
                  </pic:nvPicPr>
                  <pic:blipFill>
                    <a:blip r:embed="rId123"/>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2" name="Picture 42"/>
            <wp:cNvGraphicFramePr>
              <a:graphicFrameLocks noChangeAspect="1"/>
            </wp:cNvGraphicFramePr>
            <a:graphic>
              <a:graphicData uri="http://schemas.openxmlformats.org/drawingml/2006/picture">
                <pic:pic>
                  <pic:nvPicPr>
                    <pic:cNvPr id="0" name="image.png"/>
                    <pic:cNvPicPr/>
                  </pic:nvPicPr>
                  <pic:blipFill>
                    <a:blip r:embed="rId124"/>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3" name="Picture 43"/>
            <wp:cNvGraphicFramePr>
              <a:graphicFrameLocks noChangeAspect="1"/>
            </wp:cNvGraphicFramePr>
            <a:graphic>
              <a:graphicData uri="http://schemas.openxmlformats.org/drawingml/2006/picture">
                <pic:pic>
                  <pic:nvPicPr>
                    <pic:cNvPr id="0" name="image.png"/>
                    <pic:cNvPicPr/>
                  </pic:nvPicPr>
                  <pic:blipFill>
                    <a:blip r:embed="rId125"/>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4" name="Picture 44"/>
            <wp:cNvGraphicFramePr>
              <a:graphicFrameLocks noChangeAspect="1"/>
            </wp:cNvGraphicFramePr>
            <a:graphic>
              <a:graphicData uri="http://schemas.openxmlformats.org/drawingml/2006/picture">
                <pic:pic>
                  <pic:nvPicPr>
                    <pic:cNvPr id="0" name="image.png"/>
                    <pic:cNvPicPr/>
                  </pic:nvPicPr>
                  <pic:blipFill>
                    <a:blip r:embed="rId126"/>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5" name="Picture 45"/>
            <wp:cNvGraphicFramePr>
              <a:graphicFrameLocks noChangeAspect="1"/>
            </wp:cNvGraphicFramePr>
            <a:graphic>
              <a:graphicData uri="http://schemas.openxmlformats.org/drawingml/2006/picture">
                <pic:pic>
                  <pic:nvPicPr>
                    <pic:cNvPr id="0" name="image.png"/>
                    <pic:cNvPicPr/>
                  </pic:nvPicPr>
                  <pic:blipFill>
                    <a:blip r:embed="rId127"/>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C.12 đến C.16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C.17 đến C.19</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 và mã hội thoại</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F.1.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(635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G.1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G.1.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5"/>
        <w:gridCol w:w="3431"/>
        <w:gridCol w:w="2701"/>
      </w:tblGrid>
      <w:tr>
        <w:trPr>
          <w:cantSplit/>
          <w:tblHeader w:val="true"/>
        </w:trPr>
        <w:tc>
          <w:tcPr>
            <w:tcW w:type="dxa" w:w="265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4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7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Cold start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động nguội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Jonas et al. (2019)</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Hallucination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Bịa thông tin (mô hình tạo ra thông tin không có trong dữ liệu)</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System prompt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4.5.3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(đơn vị chữ nhỏ nhất mà mô hình ngôn ngữ sinh ra)</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r>
        <w:trPr>
          <w:cantSplit/>
        </w:trPr>
        <w:tc>
          <w:tcPr>
            <w:tcW w:type="dxa" w:w="265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w:t>
            </w:r>
          </w:p>
        </w:tc>
        <w:tc>
          <w:tcPr>
            <w:tcW w:type="dxa" w:w="34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(dịch vụ bên ngoài gọi ngược vào hệ thống để báo sự kiện)</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4.5.5</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21" Type="http://schemas.openxmlformats.org/officeDocument/2006/relationships/image" Target="media/image11.png"/><Relationship Id="rId29" Type="http://schemas.openxmlformats.org/officeDocument/2006/relationships/image" Target="media/image19.png"/><Relationship Id="rId30" Type="http://schemas.openxmlformats.org/officeDocument/2006/relationships/image" Target="media/image20.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70" Type="http://schemas.openxmlformats.org/officeDocument/2006/relationships/image" Target="media/image60.png"/><Relationship Id="rId71" Type="http://schemas.openxmlformats.org/officeDocument/2006/relationships/image" Target="media/image61.png"/><Relationship Id="rId82" Type="http://schemas.openxmlformats.org/officeDocument/2006/relationships/image" Target="media/image72.jpg"/><Relationship Id="rId83" Type="http://schemas.openxmlformats.org/officeDocument/2006/relationships/image" Target="media/image73.jpg"/><Relationship Id="rId87" Type="http://schemas.openxmlformats.org/officeDocument/2006/relationships/image" Target="media/image7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