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với biểu tượng trợ lý ở trạng thái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và thông tin chuyến bằng giọng nói</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 Driver.</w:t>
      </w:r>
    </w:p>
    <w:p>
      <w:pPr>
        <w:spacing w:after="120" w:before="0" w:line="360" w:lineRule="auto"/>
        <w:ind w:firstLine="0"/>
        <w:jc w:val="both"/>
      </w:pPr>
      <w:r>
        <w:rPr>
          <w:rFonts w:ascii="Times New Roman" w:hAnsi="Times New Roman" w:eastAsia="Times New Roman"/>
          <w:b w:val="0"/>
          <w:i w:val="0"/>
          <w:color w:val="000000"/>
          <w:sz w:val="26"/>
        </w:rPr>
        <w:t>Hình C.2. Biểu tượng trợ lý giọng nói ở trạng thái đang kết nối.</w:t>
      </w:r>
    </w:p>
    <w:p>
      <w:pPr>
        <w:spacing w:after="120" w:before="0" w:line="360" w:lineRule="auto"/>
        <w:ind w:firstLine="0"/>
        <w:jc w:val="both"/>
      </w:pPr>
      <w:r>
        <w:rPr>
          <w:rFonts w:ascii="Times New Roman" w:hAnsi="Times New Roman" w:eastAsia="Times New Roman"/>
          <w:b w:val="0"/>
          <w:i w:val="0"/>
          <w:color w:val="000000"/>
          <w:sz w:val="26"/>
        </w:rPr>
        <w:t>Hình C.3. Cài đặt trợ lý: chọn ngôn ngữ và chế độ gọi khách mặc định (tác nhân gọi thay hoặc tài xế nói trực tiếp).</w:t>
      </w:r>
    </w:p>
    <w:p>
      <w:pPr>
        <w:spacing w:after="120" w:before="0" w:line="360" w:lineRule="auto"/>
        <w:ind w:firstLine="0"/>
        <w:jc w:val="both"/>
      </w:pPr>
      <w:r>
        <w:rPr>
          <w:rFonts w:ascii="Times New Roman" w:hAnsi="Times New Roman" w:eastAsia="Times New Roman"/>
          <w:b w:val="0"/>
          <w:i w:val="0"/>
          <w:color w:val="000000"/>
          <w:sz w:val="26"/>
        </w:rPr>
        <w:t>Hình C.4. Cài đặt trợ lý: kích hoạt rảnh tay bằng từ khóa đánh thức và các tùy chọn nhắc khách.</w:t>
      </w:r>
    </w:p>
    <w:p>
      <w:pPr>
        <w:spacing w:after="120" w:before="0" w:line="360" w:lineRule="auto"/>
        <w:ind w:firstLine="0"/>
        <w:jc w:val="both"/>
      </w:pPr>
      <w:r>
        <w:rPr>
          <w:rFonts w:ascii="Times New Roman" w:hAnsi="Times New Roman" w:eastAsia="Times New Roman"/>
          <w:b w:val="0"/>
          <w:i w:val="0"/>
          <w:color w:val="000000"/>
          <w:sz w:val="26"/>
        </w:rPr>
        <w:t>Hình C.5.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C.6. Gợi ý lộ trình tối ưu cho nhiều điểm đón/trả trong danh sách chuyến đang chạy.</w:t>
      </w:r>
    </w:p>
    <w:p>
      <w:pPr>
        <w:spacing w:after="120" w:before="0" w:line="360" w:lineRule="auto"/>
        <w:ind w:firstLine="0"/>
        <w:jc w:val="both"/>
      </w:pPr>
      <w:r>
        <w:rPr>
          <w:rFonts w:ascii="Times New Roman" w:hAnsi="Times New Roman" w:eastAsia="Times New Roman"/>
          <w:b w:val="0"/>
          <w:i w:val="0"/>
          <w:color w:val="000000"/>
          <w:sz w:val="26"/>
        </w:rPr>
        <w:t>Hình C.7. Tài xế tự tạo chuyến cho khách vãng lai, kèm các yêu cầu đặc biệt (hàng cồng kềnh, đi cùng trẻ em).</w:t>
      </w:r>
    </w:p>
    <w:p>
      <w:pPr>
        <w:spacing w:after="120" w:before="0" w:line="360" w:lineRule="auto"/>
        <w:ind w:firstLine="0"/>
        <w:jc w:val="both"/>
      </w:pPr>
      <w:r>
        <w:rPr>
          <w:rFonts w:ascii="Times New Roman" w:hAnsi="Times New Roman" w:eastAsia="Times New Roman"/>
          <w:b w:val="0"/>
          <w:i w:val="0"/>
          <w:color w:val="000000"/>
          <w:sz w:val="26"/>
        </w:rPr>
        <w:t>Hình C.8. Màn hình hồ sơ tài xế và các chỉ số vận hành (đánh giá, số chuyến, tỷ lệ nhận/hoàn thành).</w:t>
      </w:r>
    </w:p>
    <w:p>
      <w:pPr>
        <w:spacing w:after="120" w:before="0" w:line="360" w:lineRule="auto"/>
        <w:ind w:firstLine="0"/>
        <w:jc w:val="both"/>
      </w:pPr>
      <w:r>
        <w:rPr>
          <w:rFonts w:ascii="Times New Roman" w:hAnsi="Times New Roman" w:eastAsia="Times New Roman"/>
          <w:b w:val="0"/>
          <w:i w:val="0"/>
          <w:color w:val="000000"/>
          <w:sz w:val="26"/>
        </w:rPr>
        <w:t>Hình C.9. Màn hình thu nhập theo kỳ và chi tiết cước từng chuyến đã hoàn thành.</w:t>
      </w:r>
    </w:p>
    <w:p>
      <w:pPr>
        <w:spacing w:after="120" w:before="0" w:line="360" w:lineRule="auto"/>
        <w:ind w:firstLine="0"/>
        <w:jc w:val="both"/>
      </w:pPr>
      <w:r>
        <w:rPr>
          <w:rFonts w:ascii="Times New Roman" w:hAnsi="Times New Roman" w:eastAsia="Times New Roman"/>
          <w:b w:val="0"/>
          <w:i w:val="0"/>
          <w:color w:val="000000"/>
          <w:sz w:val="26"/>
        </w:rPr>
        <w:t>Hình C.10.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C.11.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C.12.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C.13.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C.14.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C.15.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C.16.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pPr>
        <w:spacing w:after="120" w:before="0" w:line="360" w:lineRule="auto"/>
        <w:ind w:firstLine="0"/>
        <w:jc w:val="both"/>
      </w:pPr>
      <w:r>
        <w:rPr>
          <w:rFonts w:ascii="Times New Roman" w:hAnsi="Times New Roman" w:eastAsia="Times New Roman"/>
          <w:b w:val="0"/>
          <w:i w:val="0"/>
          <w:color w:val="000000"/>
          <w:sz w:val="26"/>
        </w:rPr>
        <w:t>Bảng H.1.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I.1.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phục hồi: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3" name="Picture 3"/>
            <wp:cNvGraphicFramePr>
              <a:graphicFrameLocks noChangeAspect="1"/>
            </wp:cNvGraphicFramePr>
            <a:graphic>
              <a:graphicData uri="http://schemas.openxmlformats.org/drawingml/2006/picture">
                <pic:pic>
                  <pic:nvPicPr>
                    <pic:cNvPr id="0" name="H4_1_aws_architecture.png"/>
                    <pic:cNvPicPr/>
                  </pic:nvPicPr>
                  <pic:blipFill>
                    <a:blip r:embed="rId77"/>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(cả hai được Dịch vụ Chuyến đi và Điều phối sử dụng) nằm trong khung External Systems.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Hình 4.1 ghi giao thức trên các luồng chính; giao thức và mục đích của từng luồng có ở Bảng 4.4.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w:t>
      </w:r>
      <w:r>
        <w:rPr>
          <w:rFonts w:ascii="Times New Roman" w:hAnsi="Times New Roman" w:eastAsia="Times New Roman"/>
          <w:b w:val="0"/>
          <w:color w:val="000000"/>
          <w:sz w:val="26"/>
        </w:rPr>
        <w:t xml:space="preserve"> dùng ứng dụng trên điện thoại qua ba kênh: HTTPS (REST, kèm JWT) tới Cổng API REST cho các nghiệp vụ; WebRTC tới LiveKit Cloud cho âm thanh hội thoại với trợ lý; WSS (WebSocket bảo mật) qua Kênh thông báo thời gian thực để nhận thông báo đẩy. Ứng dụng còn tải lớp bản đồ nền trực tiếp từ dịch vụ bản đồ qua HTTPS.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dùng ứng dụng: cuộc gọi và tin nhắn đi qua mạng điện thoại công cộng (PSTN); LiveKit Cloud nối cuộc gọi với Twilio bằng SIP.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 và quản trị viên hệ thống</w:t>
      </w:r>
      <w:r>
        <w:rPr>
          <w:rFonts w:ascii="Times New Roman" w:hAnsi="Times New Roman" w:eastAsia="Times New Roman"/>
          <w:b w:val="0"/>
          <w:color w:val="000000"/>
          <w:sz w:val="26"/>
        </w:rPr>
        <w:t xml:space="preserve"> dùng trình duyệt: tải trang web tĩnh từ Amazon S3, rồi gọi Cổng API REST qua HTTPS kèm JWT.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Bên trong hệ thống</w:t>
      </w:r>
      <w:r>
        <w:rPr>
          <w:rFonts w:ascii="Times New Roman" w:hAnsi="Times New Roman" w:eastAsia="Times New Roman"/>
          <w:b w:val="0"/>
          <w:color w:val="000000"/>
          <w:sz w:val="26"/>
        </w:rPr>
        <w:t>,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4" name="Picture 4"/>
            <wp:cNvGraphicFramePr>
              <a:graphicFrameLocks noChangeAspect="1"/>
            </wp:cNvGraphicFramePr>
            <a:graphic>
              <a:graphicData uri="http://schemas.openxmlformats.org/drawingml/2006/picture">
                <pic:pic>
                  <pic:nvPicPr>
                    <pic:cNvPr id="0" name="H4_1_aws_architecture_driver.png"/>
                    <pic:cNvPicPr/>
                  </pic:nvPicPr>
                  <pic:blipFill>
                    <a:blip r:embed="rId78"/>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5" name="Picture 5"/>
            <wp:cNvGraphicFramePr>
              <a:graphicFrameLocks noChangeAspect="1"/>
            </wp:cNvGraphicFramePr>
            <a:graphic>
              <a:graphicData uri="http://schemas.openxmlformats.org/drawingml/2006/picture">
                <pic:pic>
                  <pic:nvPicPr>
                    <pic:cNvPr id="0" name="H4_1_aws_architecture_customer.png"/>
                    <pic:cNvPicPr/>
                  </pic:nvPicPr>
                  <pic:blipFill>
                    <a:blip r:embed="rId79"/>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6" name="Picture 6"/>
            <wp:cNvGraphicFramePr>
              <a:graphicFrameLocks noChangeAspect="1"/>
            </wp:cNvGraphicFramePr>
            <a:graphic>
              <a:graphicData uri="http://schemas.openxmlformats.org/drawingml/2006/picture">
                <pic:pic>
                  <pic:nvPicPr>
                    <pic:cNvPr id="0" name="H4_1_aws_architecture_dispatcher.png"/>
                    <pic:cNvPicPr/>
                  </pic:nvPicPr>
                  <pic:blipFill>
                    <a:blip r:embed="rId80"/>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7" name="Picture 7"/>
            <wp:cNvGraphicFramePr>
              <a:graphicFrameLocks noChangeAspect="1"/>
            </wp:cNvGraphicFramePr>
            <a:graphic>
              <a:graphicData uri="http://schemas.openxmlformats.org/drawingml/2006/picture">
                <pic:pic>
                  <pic:nvPicPr>
                    <pic:cNvPr id="0" name="H4_1_aws_architecture_sysadmin.png"/>
                    <pic:cNvPicPr/>
                  </pic:nvPicPr>
                  <pic:blipFill>
                    <a:blip r:embed="rId81"/>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993"/>
        <w:gridCol w:w="2361"/>
        <w:gridCol w:w="2675"/>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6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thời gian chờ 8 giây</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đón không quá 1 000 m (mặc định); sai: 409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1634966"/>
            <wp:docPr id="16" name="Picture 1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220000" cy="163496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60400" cy="5757774"/>
            <wp:docPr id="17" name="Picture 1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60400" cy="5757774"/>
            <wp:docPr id="18" name="Picture 1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trạng thái hoạt động và điểm đón, trả của chuyến (Hình 5.3). Khi mở trợ lý, ứng dụng xin token thoại, tham gia phòng hội thoại (features/home/stores/voiceSessionStore.ts) và hiển thị biểu tượng trợ lý thay đổi theo trạng thái phiên (Hình 5.4).</w:t>
      </w:r>
    </w:p>
    <w:p>
      <w:pPr>
        <w:keepNext/>
        <w:spacing w:before="120" w:after="120"/>
        <w:jc w:val="center"/>
      </w:pPr>
      <w:r>
        <w:drawing>
          <wp:inline xmlns:a="http://schemas.openxmlformats.org/drawingml/2006/main" xmlns:pic="http://schemas.openxmlformats.org/drawingml/2006/picture">
            <wp:extent cx="2660400" cy="5757774"/>
            <wp:docPr id="19" name="Picture 1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60400" cy="5757774"/>
            <wp:docPr id="20" name="Picture 20"/>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với biểu tượng trợ lý ở trạng thái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60400" cy="5757774"/>
            <wp:docPr id="21" name="Picture 2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và thông tin chuyến bằng giọng nói</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và chế độ gọi khách mặc định.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H.</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Giới hạn của SC-01 và SC-02: mọi thành phần chạy trên một máy 14 nhân, không có độ trễ mạng thật, và nhà cung cấp AI là giả lập nên không thể hiện giới hạn tốc độ hoặc độ trễ tăng của nhà cung cấp thật khi nhiều phiên cùng gọi; bản sao là tiến trình cục bộ chứ không phải tác vụ Fargate. Kết quả kiểm chứng tính chất mở rộng của kiến trúc, chưa phải năng lực tải của hệ thống trên AWS.</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đạt gồm: các yêu cầu chức năng của khách hàng và giám sát vận hành; khả năng phục hồi ở mức thành phần (200/200 lượt tiêm lỗi). Hai tiêu chí không đạt ở lần đánh giá đầu là tính khả dụng (câu báo lỗi chứa thông tin kỹ thuật) và bảo mật nhật ký (số điện thoại chưa được che); cả hai là lỗi hiện thực, đã được sửa và đạt khi kiểm tra lại. Kết quả không đạt còn lại là độ trễ phản hồi của luồng qua LLM (P95 = 3,75 giây). Khả năng mở rộng đạt trong môi trường mô phỏng: độ trễ phản hồi không tăng từ 1 tới 40 phiên đồng thời, với bộ nhớ khoảng 225 MB mỗi phiên là giới hạn chính. Khi dừng một bản sao tác nhân, phiên mới được bản sao khác phục vụ ngay nhưng phiên đang chạy trên bản sao đó bị mất. Gửi SMS cho khách (AC-11) đạt ở mức kiểm thử nhưng chưa giao được tin thật tới thuê bao Việt Nam vì chưa có tên người gửi đã đăng ký với nhà mạng. Sắp xếp thứ tự ghé cho quãng đường gần tối ưu trên dữ liệu mô phỏng. Mọi kết quả đều kèm cỡ mẫu và giới hạn, phân tích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đặt TWILIO_SMS_FROM, sau đó gửi thử thật và đo tỷ lệ giao tin qua báo cáo trạng thái; trong thời gian chờ, có thể thay SMS bằng cuộc gọi tự động đọc nội dung tin nhắn cho khách qua kênh thoại sẵn có.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60400" cy="5757774"/>
            <wp:docPr id="26" name="Picture 26"/>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 Driver.</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7" name="Picture 27"/>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Biểu tượng trợ lý giọng nói ở trạng thái đang kết nối.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8" name="Picture 28"/>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Cài đặt trợ lý: chọn ngôn ngữ và chế độ gọi khách mặc định (tác nhân gọi thay hoặc tài xế nói trực tiếp).</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9" name="Picture 29"/>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Cài đặt trợ lý: kích hoạt rảnh tay bằng từ khóa đánh thức và các tùy chọn nhắc khách.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0" name="Picture 30"/>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1" name="Picture 31"/>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Gợi ý lộ trình tối ưu cho nhiều điểm đón/trả trong danh sách chuyến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2" name="Picture 32"/>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Tài xế tự tạo chuyến cho khách vãng lai, kèm các yêu cầu đặc biệt (hàng cồng kềnh, đi cùng trẻ em).</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3" name="Picture 33"/>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Màn hình hồ sơ tài xế và các chỉ số vận hành (đánh giá, số chuyến, tỷ lệ nhận/hoàn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4" name="Picture 34"/>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Màn hình thu nhập theo kỳ và chi tiết cước từng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35" name="Picture 3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36" name="Picture 3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7" name="Picture 3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38" name="Picture 3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39" name="Picture 3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40" name="Picture 4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41" name="Picture 4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42" name="Picture 4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43" name="Picture 4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15"/>
        <w:gridCol w:w="2420"/>
        <w:gridCol w:w="2679"/>
        <w:gridCol w:w="1673"/>
      </w:tblGrid>
      <w:tr>
        <w:trPr>
          <w:cantSplit/>
          <w:tblHeader w:val="true"/>
        </w:trPr>
        <w:tc>
          <w:tcPr>
            <w:tcW w:type="dxa" w:w="20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 driver-web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Cài trên điện thoại (Expo); bản web driver-web lưu trên 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(ngoài phạm vi)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p>
      <w:pPr>
        <w:pStyle w:val="Heading2"/>
        <w:spacing w:after="160" w:before="240" w:line="240" w:lineRule="auto"/>
        <w:ind w:firstLine="0"/>
        <w:jc w:val="both"/>
      </w:pPr>
      <w:r>
        <w:rPr>
          <w:rFonts w:ascii="Times New Roman" w:hAnsi="Times New Roman" w:eastAsia="Times New Roman"/>
          <w:b/>
          <w:i w:val="0"/>
          <w:color w:val="000000"/>
          <w:sz w:val="26"/>
        </w:rPr>
        <w:t>Phụ lục H.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H.1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H.1.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I.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I.1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I.1.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