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2D50"/>
          <w:sz w:val="60"/>
        </w:rPr>
        <w:t>Nexife Salon</w:t>
      </w:r>
    </w:p>
    <w:p>
      <w:pPr>
        <w:jc w:val="center"/>
      </w:pPr>
      <w:r>
        <w:rPr>
          <w:i/>
          <w:color w:val="2E74B5"/>
          <w:sz w:val="30"/>
        </w:rPr>
        <w:t>Architecture Vision: Frontend, Backend &amp; Database</w:t>
        <w:br/>
        <w:t>as Independent Modules in a Single Monolithic App</w:t>
      </w:r>
    </w:p>
    <w:p>
      <w:pPr>
        <w:spacing w:before="800"/>
        <w:jc w:val="center"/>
      </w:pPr>
      <w:r>
        <w:rPr>
          <w:color w:val="555555"/>
          <w:sz w:val="21"/>
        </w:rPr>
        <w:t>Prepared: September 29, 2026</w:t>
        <w:br/>
        <w:t>Scope: A ground-up development vision for the Nexife Salon platform,</w:t>
        <w:br/>
        <w:t>built as a modular monolith rather than a scattered prototype.</w:t>
      </w:r>
    </w:p>
    <w:p>
      <w:r>
        <w:br w:type="page"/>
      </w:r>
    </w:p>
    <w:p>
      <w:pPr>
        <w:pStyle w:val="Heading1"/>
      </w:pPr>
      <w:r>
        <w:t>1. Purpose &amp; Approach</w:t>
      </w:r>
    </w:p>
    <w:p>
      <w:r>
        <w:t>This document lays out a step-by-step vision for developing Nexife Salon from scratch using a “modular monolith” architecture: the frontend, the backend/API layer, and the database each live as clearly-bounded, independently-developable modules with enforced boundaries between them — but the whole thing still ships as one codebase, one build, one deployable process. This gives most of the benefits people reach for microservices for (separation of concerns, independent testing, the option to peel a layer out later) without the operational cost of running multiple services, message queues, or network hops for a product at this stage.</w:t>
      </w:r>
    </w:p>
    <w:p>
      <w:r>
        <w:t>The plan below is grounded in a full read of the current codebase (Section 2) so the vision is a realistic evolution of what exists today, not a rewrite from imagination.</w:t>
      </w:r>
    </w:p>
    <w:p>
      <w:pPr>
        <w:pStyle w:val="Heading1"/>
      </w:pPr>
      <w:r>
        <w:t>2. Current State — What the App Actually Is Today</w:t>
      </w:r>
    </w:p>
    <w:p>
      <w:pPr>
        <w:pStyle w:val="Heading2"/>
      </w:pPr>
      <w:r>
        <w:t>2.1 Stack in place</w:t>
      </w:r>
    </w:p>
    <w:p>
      <w:pPr>
        <w:pStyle w:val="ListBullet"/>
      </w:pPr>
      <w:r>
        <w:rPr>
          <w:b/>
        </w:rPr>
        <w:t xml:space="preserve">Framework: </w:t>
      </w:r>
      <w:r>
        <w:t>Next.js 16 (App Router), React 19, TypeScript, Tailwind CSS 4.</w:t>
      </w:r>
    </w:p>
    <w:p>
      <w:pPr>
        <w:pStyle w:val="ListBullet"/>
      </w:pPr>
      <w:r>
        <w:rPr>
          <w:b/>
        </w:rPr>
        <w:t xml:space="preserve">AI layer: </w:t>
      </w:r>
      <w:r>
        <w:t>LangChain + OpenAI (gpt-4o, gpt-image-1) for an embedded assistant (“Style Studio”).</w:t>
      </w:r>
    </w:p>
    <w:p>
      <w:pPr>
        <w:pStyle w:val="ListBullet"/>
      </w:pPr>
      <w:r>
        <w:rPr>
          <w:b/>
        </w:rPr>
        <w:t xml:space="preserve">The only real database in the repo: </w:t>
      </w:r>
      <w:r>
        <w:t>Supabase Postgres — but it only backs the AI assistant’s product/sales lookup tools (search_products, get_customer_orders, get_sales_summary). It holds a demo sales dataset, not the salon’s own operational data.</w:t>
      </w:r>
    </w:p>
    <w:p>
      <w:pPr>
        <w:pStyle w:val="Heading2"/>
      </w:pPr>
      <w:r>
        <w:t>2.2 How the core salon app actually stores data today</w:t>
      </w:r>
    </w:p>
    <w:p>
      <w:r>
        <w:t>This is the key finding: there is no database module for the product domain (appointments, customers, billing, staff, inventory, finance). All of it lives in memory:</w:t>
      </w:r>
    </w:p>
    <w:p>
      <w:pPr>
        <w:pStyle w:val="ListBullet"/>
      </w:pPr>
      <w:r>
        <w:rPr>
          <w:b/>
        </w:rPr>
        <w:t xml:space="preserve">lib/store.ts + lib/StoreContext.tsx — </w:t>
      </w:r>
      <w:r>
        <w:t>a hardcoded TENANT_SEEDS object seeds a React useState store on first render. Every booking, payment, or new customer is a state mutation in the browser tab. A page refresh throws it all away.</w:t>
      </w:r>
    </w:p>
    <w:p>
      <w:pPr>
        <w:pStyle w:val="ListBullet"/>
      </w:pPr>
      <w:r>
        <w:rPr>
          <w:b/>
        </w:rPr>
        <w:t xml:space="preserve">lib/tenants.ts — </w:t>
      </w:r>
      <w:r>
        <w:t>the tenant directory and any tenant-created users live in a module-level array (TENANT_USERS) on the Node process. A server restart wipes every user a tenant admin created.</w:t>
      </w:r>
    </w:p>
    <w:p>
      <w:pPr>
        <w:pStyle w:val="ListBullet"/>
      </w:pPr>
      <w:r>
        <w:rPr>
          <w:b/>
        </w:rPr>
        <w:t xml:space="preserve">lib/auth.ts + lib/session.ts — </w:t>
      </w:r>
      <w:r>
        <w:t>credentials are checked against those in-memory/env-var-backed lists; the session itself is a hand-rolled HMAC-signed cookie (no session table, which is fine, but there’s no user table behind it either).</w:t>
      </w:r>
    </w:p>
    <w:p>
      <w:pPr>
        <w:pStyle w:val="Heading2"/>
      </w:pPr>
      <w:r>
        <w:t>2.3 Where the frontend/backend line is drawn today</w:t>
      </w:r>
    </w:p>
    <w:p>
      <w:r>
        <w:t>There effectively isn’t one for the core app. Components import business logic directly from lib/store.ts (e.g. getMetrics, money, getSvc) and mutate shared state through lib/StoreContext.tsx — all client-side, no network boundary. The only real backend boundary in the repo is app/actions/auth.ts and app/actions/users.ts (Next.js Server Actions), and app/api/assistant/{chat,upload}/route.ts.</w:t>
      </w:r>
    </w:p>
    <w:p>
      <w:r>
        <w:t>Ironically, the AI assistant module (lib/assistant/) is the most architecturally mature part of the app: it has its own API route boundary, a tools layer, a real database client (lib/assistant/supabase.ts), and document loaders — a small working example of the pattern the rest of the app should follow.</w:t>
      </w:r>
    </w:p>
    <w:p>
      <w:pPr>
        <w:pStyle w:val="Heading2"/>
      </w:pPr>
      <w:r>
        <w:t>2.4 Why this matters</w:t>
      </w:r>
    </w:p>
    <w:p>
      <w:pPr>
        <w:pStyle w:val="ListBullet"/>
      </w:pPr>
      <w:r>
        <w:t>No persistence — unusable beyond a live demo; every deploy/restart loses all data.</w:t>
      </w:r>
    </w:p>
    <w:p>
      <w:pPr>
        <w:pStyle w:val="ListBullet"/>
      </w:pPr>
      <w:r>
        <w:t>“Multi-tenancy” is an array filter, not data isolation — there’s no enforced boundary preventing a bug from leaking one tenant’s data into another’s view.</w:t>
      </w:r>
    </w:p>
    <w:p>
      <w:pPr>
        <w:pStyle w:val="ListBullet"/>
      </w:pPr>
      <w:r>
        <w:t>No RBAC persistence — menu grants live only as long as the Node process does.</w:t>
      </w:r>
    </w:p>
    <w:p>
      <w:pPr>
        <w:pStyle w:val="ListBullet"/>
      </w:pPr>
      <w:r>
        <w:t>No schema, no migrations, no tests — nothing to check correctness against as the app grows.</w:t>
      </w:r>
    </w:p>
    <w:p>
      <w:pPr>
        <w:pStyle w:val="ListBullet"/>
      </w:pPr>
      <w:r>
        <w:t>Frontend and business logic are fused — a future mobile app or admin tool would have nothing to call; the logic isn’t reachable except through these specific React components.</w:t>
      </w:r>
    </w:p>
    <w:p>
      <w:pPr>
        <w:pStyle w:val="Heading1"/>
      </w:pPr>
      <w:r>
        <w:t>3. Target Architecture — The Modular Monolith</w:t>
      </w:r>
    </w:p>
    <w:p>
      <w:r>
        <w:t>One repository, one build, one running process — but internally split into three modules with a hard rule about which one is allowed to import which.</w:t>
      </w:r>
    </w:p>
    <w:p>
      <w:pPr>
        <w:spacing w:after="160"/>
        <w:ind w:left="360"/>
      </w:pPr>
      <w:r>
        <w:rPr>
          <w:rFonts w:ascii="Consolas" w:hAnsi="Consolas"/>
          <w:color w:val="333333"/>
          <w:sz w:val="18"/>
        </w:rPr>
        <w:t>+-----------------------------------------------------------+</w:t>
      </w:r>
      <w:r>
        <w:rPr>
          <w:rFonts w:ascii="Consolas" w:hAnsi="Consolas"/>
          <w:color w:val="333333"/>
          <w:sz w:val="18"/>
        </w:rPr>
        <w:br/>
        <w:t>|                     FRONTEND MODULE                       |</w:t>
      </w:r>
      <w:r>
        <w:rPr>
          <w:rFonts w:ascii="Consolas" w:hAnsi="Consolas"/>
          <w:color w:val="333333"/>
          <w:sz w:val="18"/>
        </w:rPr>
        <w:br/>
        <w:t>|   app/ (routes, layouts)  +  components/ (UI, views)      |</w:t>
      </w:r>
      <w:r>
        <w:rPr>
          <w:rFonts w:ascii="Consolas" w:hAnsi="Consolas"/>
          <w:color w:val="333333"/>
          <w:sz w:val="18"/>
        </w:rPr>
        <w:br/>
        <w:t>|   - Server Components fetch data via the backend module   |</w:t>
      </w:r>
      <w:r>
        <w:rPr>
          <w:rFonts w:ascii="Consolas" w:hAnsi="Consolas"/>
          <w:color w:val="333333"/>
          <w:sz w:val="18"/>
        </w:rPr>
        <w:br/>
        <w:t>|   - Client state limited to UI-only concerns (drafts,      |</w:t>
      </w:r>
      <w:r>
        <w:rPr>
          <w:rFonts w:ascii="Consolas" w:hAnsi="Consolas"/>
          <w:color w:val="333333"/>
          <w:sz w:val="18"/>
        </w:rPr>
        <w:br/>
        <w:t>|     active tab, toasts) via a thin context                |</w:t>
      </w:r>
      <w:r>
        <w:rPr>
          <w:rFonts w:ascii="Consolas" w:hAnsi="Consolas"/>
          <w:color w:val="333333"/>
          <w:sz w:val="18"/>
        </w:rPr>
        <w:br/>
        <w:t>+---------------------------|---------------------------------+</w:t>
      </w:r>
      <w:r>
        <w:rPr>
          <w:rFonts w:ascii="Consolas" w:hAnsi="Consolas"/>
          <w:color w:val="333333"/>
          <w:sz w:val="18"/>
        </w:rPr>
        <w:br/>
        <w:t xml:space="preserve">                            | calls (in-process function calls,</w:t>
      </w:r>
      <w:r>
        <w:rPr>
          <w:rFonts w:ascii="Consolas" w:hAnsi="Consolas"/>
          <w:color w:val="333333"/>
          <w:sz w:val="18"/>
        </w:rPr>
        <w:br/>
        <w:t xml:space="preserve">                            |  typed &amp; zod-validated — no HTTP</w:t>
      </w:r>
      <w:r>
        <w:rPr>
          <w:rFonts w:ascii="Consolas" w:hAnsi="Consolas"/>
          <w:color w:val="333333"/>
          <w:sz w:val="18"/>
        </w:rPr>
        <w:br/>
        <w:t xml:space="preserve">                            |  hop needed inside one process)</w:t>
      </w:r>
      <w:r>
        <w:rPr>
          <w:rFonts w:ascii="Consolas" w:hAnsi="Consolas"/>
          <w:color w:val="333333"/>
          <w:sz w:val="18"/>
        </w:rPr>
        <w:br/>
        <w:t>+---------------------------v---------------------------------+</w:t>
      </w:r>
      <w:r>
        <w:rPr>
          <w:rFonts w:ascii="Consolas" w:hAnsi="Consolas"/>
          <w:color w:val="333333"/>
          <w:sz w:val="18"/>
        </w:rPr>
        <w:br/>
        <w:t>|                   BACKEND / API MODULE                    |</w:t>
      </w:r>
      <w:r>
        <w:rPr>
          <w:rFonts w:ascii="Consolas" w:hAnsi="Consolas"/>
          <w:color w:val="333333"/>
          <w:sz w:val="18"/>
        </w:rPr>
        <w:br/>
        <w:t>|   server/&lt;domain&gt;/  e.g. auth, tenants, appointments,      |</w:t>
      </w:r>
      <w:r>
        <w:rPr>
          <w:rFonts w:ascii="Consolas" w:hAnsi="Consolas"/>
          <w:color w:val="333333"/>
          <w:sz w:val="18"/>
        </w:rPr>
        <w:br/>
        <w:t>|   billing, staff, inventory, finance, assistant            |</w:t>
      </w:r>
      <w:r>
        <w:rPr>
          <w:rFonts w:ascii="Consolas" w:hAnsi="Consolas"/>
          <w:color w:val="333333"/>
          <w:sz w:val="18"/>
        </w:rPr>
        <w:br/>
        <w:t>|   Each domain: schema.ts (zod) + service.ts (business      |</w:t>
      </w:r>
      <w:r>
        <w:rPr>
          <w:rFonts w:ascii="Consolas" w:hAnsi="Consolas"/>
          <w:color w:val="333333"/>
          <w:sz w:val="18"/>
        </w:rPr>
        <w:br/>
        <w:t>|   rules) + repository.ts (only file touching the DB)       |</w:t>
      </w:r>
      <w:r>
        <w:rPr>
          <w:rFonts w:ascii="Consolas" w:hAnsi="Consolas"/>
          <w:color w:val="333333"/>
          <w:sz w:val="18"/>
        </w:rPr>
        <w:br/>
        <w:t>|   Exposed to the frontend as Server Actions / Route         |</w:t>
      </w:r>
      <w:r>
        <w:rPr>
          <w:rFonts w:ascii="Consolas" w:hAnsi="Consolas"/>
          <w:color w:val="333333"/>
          <w:sz w:val="18"/>
        </w:rPr>
        <w:br/>
        <w:t>|   Handlers — the ONLY sanctioned entry points.           |</w:t>
      </w:r>
      <w:r>
        <w:rPr>
          <w:rFonts w:ascii="Consolas" w:hAnsi="Consolas"/>
          <w:color w:val="333333"/>
          <w:sz w:val="18"/>
        </w:rPr>
        <w:br/>
        <w:t>+---------------------------|---------------------------------+</w:t>
      </w:r>
      <w:r>
        <w:rPr>
          <w:rFonts w:ascii="Consolas" w:hAnsi="Consolas"/>
          <w:color w:val="333333"/>
          <w:sz w:val="18"/>
        </w:rPr>
        <w:br/>
        <w:t xml:space="preserve">                            | only repository.ts files may</w:t>
      </w:r>
      <w:r>
        <w:rPr>
          <w:rFonts w:ascii="Consolas" w:hAnsi="Consolas"/>
          <w:color w:val="333333"/>
          <w:sz w:val="18"/>
        </w:rPr>
        <w:br/>
        <w:t xml:space="preserve">                            | import the DB client</w:t>
      </w:r>
      <w:r>
        <w:rPr>
          <w:rFonts w:ascii="Consolas" w:hAnsi="Consolas"/>
          <w:color w:val="333333"/>
          <w:sz w:val="18"/>
        </w:rPr>
        <w:br/>
        <w:t>+---------------------------v---------------------------------+</w:t>
      </w:r>
      <w:r>
        <w:rPr>
          <w:rFonts w:ascii="Consolas" w:hAnsi="Consolas"/>
          <w:color w:val="333333"/>
          <w:sz w:val="18"/>
        </w:rPr>
        <w:br/>
        <w:t>|                     DATABASE MODULE                        |</w:t>
      </w:r>
      <w:r>
        <w:rPr>
          <w:rFonts w:ascii="Consolas" w:hAnsi="Consolas"/>
          <w:color w:val="333333"/>
          <w:sz w:val="18"/>
        </w:rPr>
        <w:br/>
        <w:t>|   db/schema (Prisma or Drizzle) + migrations + seed        |</w:t>
      </w:r>
      <w:r>
        <w:rPr>
          <w:rFonts w:ascii="Consolas" w:hAnsi="Consolas"/>
          <w:color w:val="333333"/>
          <w:sz w:val="18"/>
        </w:rPr>
        <w:br/>
        <w:t>|   Postgres (Supabase) — tenant_id on every row,           |</w:t>
      </w:r>
      <w:r>
        <w:rPr>
          <w:rFonts w:ascii="Consolas" w:hAnsi="Consolas"/>
          <w:color w:val="333333"/>
          <w:sz w:val="18"/>
        </w:rPr>
        <w:br/>
        <w:t>|   Row-Level Security enforcing tenant isolation             |</w:t>
      </w:r>
      <w:r>
        <w:rPr>
          <w:rFonts w:ascii="Consolas" w:hAnsi="Consolas"/>
          <w:color w:val="333333"/>
          <w:sz w:val="18"/>
        </w:rPr>
        <w:br/>
        <w:t>+-----------------------------------------------------------+</w:t>
      </w:r>
    </w:p>
    <w:p>
      <w:pPr>
        <w:pStyle w:val="Heading2"/>
      </w:pPr>
      <w:r>
        <w:t>3.1 The enforced boundary rule</w:t>
      </w:r>
    </w:p>
    <w:p>
      <w:pPr>
        <w:pStyle w:val="ListBullet"/>
      </w:pPr>
      <w:r>
        <w:t>Frontend code (app/, components/) may never import db/ directly, and may never import a repository.ts.</w:t>
      </w:r>
    </w:p>
    <w:p>
      <w:pPr>
        <w:pStyle w:val="ListBullet"/>
      </w:pPr>
      <w:r>
        <w:t>Only a domain's repository.ts may import the Postgres/Prisma client.</w:t>
      </w:r>
    </w:p>
    <w:p>
      <w:pPr>
        <w:pStyle w:val="ListBullet"/>
      </w:pPr>
      <w:r>
        <w:t>Cross-domain calls go through another domain's service.ts, never its repository.ts.</w:t>
      </w:r>
    </w:p>
    <w:p>
      <w:pPr>
        <w:pStyle w:val="ListBullet"/>
      </w:pPr>
      <w:r>
        <w:t>Enforce this with eslint-plugin-boundaries or dependency-cruiser in CI, so it's a build failure, not a code-review nice-to-have.</w:t>
      </w:r>
    </w:p>
    <w:p>
      <w:pPr>
        <w:pStyle w:val="Heading2"/>
      </w:pPr>
      <w:r>
        <w:t>3.2 Why monolith, not microservices</w:t>
      </w:r>
    </w:p>
    <w:p>
      <w:r>
        <w:t>A single Next.js process keeps deploys simple, keeps latency low (function calls instead of network calls between layers), and matches the current team/app size. The module boundaries above mean that if a layer ever needs to be pulled out — e.g. the backend module becomes a standalone API for a future mobile app — it can be done by relocating folders, not rewriting logic that was never properly isolated.</w:t>
      </w:r>
    </w:p>
    <w:p>
      <w:pPr>
        <w:pStyle w:val="Heading1"/>
      </w:pPr>
      <w:r>
        <w:t>4. Proposed Repository Structure</w:t>
      </w:r>
    </w:p>
    <w:p>
      <w:pPr>
        <w:spacing w:after="160"/>
        <w:ind w:left="360"/>
      </w:pPr>
      <w:r>
        <w:rPr>
          <w:rFonts w:ascii="Consolas" w:hAnsi="Consolas"/>
          <w:color w:val="333333"/>
          <w:sz w:val="18"/>
        </w:rPr>
        <w:t>nexife-salon/</w:t>
      </w:r>
      <w:r>
        <w:rPr>
          <w:rFonts w:ascii="Consolas" w:hAnsi="Consolas"/>
          <w:color w:val="333333"/>
          <w:sz w:val="18"/>
        </w:rPr>
        <w:br/>
        <w:t xml:space="preserve">  app/                        FRONTEND — routes &amp; layouts (App Router)</w:t>
      </w:r>
      <w:r>
        <w:rPr>
          <w:rFonts w:ascii="Consolas" w:hAnsi="Consolas"/>
          <w:color w:val="333333"/>
          <w:sz w:val="18"/>
        </w:rPr>
        <w:br/>
        <w:t xml:space="preserve">    (dashboard)/...</w:t>
      </w:r>
      <w:r>
        <w:rPr>
          <w:rFonts w:ascii="Consolas" w:hAnsi="Consolas"/>
          <w:color w:val="333333"/>
          <w:sz w:val="18"/>
        </w:rPr>
        <w:br/>
        <w:t xml:space="preserve">    login/</w:t>
      </w:r>
      <w:r>
        <w:rPr>
          <w:rFonts w:ascii="Consolas" w:hAnsi="Consolas"/>
          <w:color w:val="333333"/>
          <w:sz w:val="18"/>
        </w:rPr>
        <w:br/>
        <w:t xml:space="preserve">    api/assistant/            thin Route Handlers -&gt; server/assistant</w:t>
      </w:r>
      <w:r>
        <w:rPr>
          <w:rFonts w:ascii="Consolas" w:hAnsi="Consolas"/>
          <w:color w:val="333333"/>
          <w:sz w:val="18"/>
        </w:rPr>
        <w:br/>
        <w:t xml:space="preserve">  components/                 FRONTEND — presentational UI + views</w:t>
      </w:r>
      <w:r>
        <w:rPr>
          <w:rFonts w:ascii="Consolas" w:hAnsi="Consolas"/>
          <w:color w:val="333333"/>
          <w:sz w:val="18"/>
        </w:rPr>
        <w:br/>
        <w:t xml:space="preserve">    ui/                       generic building blocks (Button, Table, Modal)</w:t>
      </w:r>
      <w:r>
        <w:rPr>
          <w:rFonts w:ascii="Consolas" w:hAnsi="Consolas"/>
          <w:color w:val="333333"/>
          <w:sz w:val="18"/>
        </w:rPr>
        <w:br/>
        <w:t xml:space="preserve">    views/                    per-domain screens (AppointmentsView, ...)</w:t>
      </w:r>
      <w:r>
        <w:rPr>
          <w:rFonts w:ascii="Consolas" w:hAnsi="Consolas"/>
          <w:color w:val="333333"/>
          <w:sz w:val="18"/>
        </w:rPr>
        <w:br/>
        <w:t xml:space="preserve">  server/                     BACKEND / API MODULE</w:t>
      </w:r>
      <w:r>
        <w:rPr>
          <w:rFonts w:ascii="Consolas" w:hAnsi="Consolas"/>
          <w:color w:val="333333"/>
          <w:sz w:val="18"/>
        </w:rPr>
        <w:br/>
        <w:t xml:space="preserve">    auth/          { schema.ts, service.ts, repository.ts, actions.ts }</w:t>
      </w:r>
      <w:r>
        <w:rPr>
          <w:rFonts w:ascii="Consolas" w:hAnsi="Consolas"/>
          <w:color w:val="333333"/>
          <w:sz w:val="18"/>
        </w:rPr>
        <w:br/>
        <w:t xml:space="preserve">    tenants/       { ... }</w:t>
      </w:r>
      <w:r>
        <w:rPr>
          <w:rFonts w:ascii="Consolas" w:hAnsi="Consolas"/>
          <w:color w:val="333333"/>
          <w:sz w:val="18"/>
        </w:rPr>
        <w:br/>
        <w:t xml:space="preserve">    appointments/  { ... }</w:t>
      </w:r>
      <w:r>
        <w:rPr>
          <w:rFonts w:ascii="Consolas" w:hAnsi="Consolas"/>
          <w:color w:val="333333"/>
          <w:sz w:val="18"/>
        </w:rPr>
        <w:br/>
        <w:t xml:space="preserve">    billing/       { ... }</w:t>
      </w:r>
      <w:r>
        <w:rPr>
          <w:rFonts w:ascii="Consolas" w:hAnsi="Consolas"/>
          <w:color w:val="333333"/>
          <w:sz w:val="18"/>
        </w:rPr>
        <w:br/>
        <w:t xml:space="preserve">    staff/         { ... }</w:t>
      </w:r>
      <w:r>
        <w:rPr>
          <w:rFonts w:ascii="Consolas" w:hAnsi="Consolas"/>
          <w:color w:val="333333"/>
          <w:sz w:val="18"/>
        </w:rPr>
        <w:br/>
        <w:t xml:space="preserve">    inventory/     { ... }</w:t>
      </w:r>
      <w:r>
        <w:rPr>
          <w:rFonts w:ascii="Consolas" w:hAnsi="Consolas"/>
          <w:color w:val="333333"/>
          <w:sz w:val="18"/>
        </w:rPr>
        <w:br/>
        <w:t xml:space="preserve">    finance/       { ... }</w:t>
      </w:r>
      <w:r>
        <w:rPr>
          <w:rFonts w:ascii="Consolas" w:hAnsi="Consolas"/>
          <w:color w:val="333333"/>
          <w:sz w:val="18"/>
        </w:rPr>
        <w:br/>
        <w:t xml:space="preserve">    assistant/     { engine.ts, tools.ts, repository.ts }</w:t>
      </w:r>
      <w:r>
        <w:rPr>
          <w:rFonts w:ascii="Consolas" w:hAnsi="Consolas"/>
          <w:color w:val="333333"/>
          <w:sz w:val="18"/>
        </w:rPr>
        <w:br/>
        <w:t xml:space="preserve">    shared/        session.ts, rbac.ts, errors.ts</w:t>
      </w:r>
      <w:r>
        <w:rPr>
          <w:rFonts w:ascii="Consolas" w:hAnsi="Consolas"/>
          <w:color w:val="333333"/>
          <w:sz w:val="18"/>
        </w:rPr>
        <w:br/>
        <w:t xml:space="preserve">  db/                         DATABASE MODULE</w:t>
      </w:r>
      <w:r>
        <w:rPr>
          <w:rFonts w:ascii="Consolas" w:hAnsi="Consolas"/>
          <w:color w:val="333333"/>
          <w:sz w:val="18"/>
        </w:rPr>
        <w:br/>
        <w:t xml:space="preserve">    schema.prisma  (or drizzle/schema.ts)</w:t>
      </w:r>
      <w:r>
        <w:rPr>
          <w:rFonts w:ascii="Consolas" w:hAnsi="Consolas"/>
          <w:color w:val="333333"/>
          <w:sz w:val="18"/>
        </w:rPr>
        <w:br/>
        <w:t xml:space="preserve">    migrations/</w:t>
      </w:r>
      <w:r>
        <w:rPr>
          <w:rFonts w:ascii="Consolas" w:hAnsi="Consolas"/>
          <w:color w:val="333333"/>
          <w:sz w:val="18"/>
        </w:rPr>
        <w:br/>
        <w:t xml:space="preserve">    seed.ts</w:t>
      </w:r>
      <w:r>
        <w:rPr>
          <w:rFonts w:ascii="Consolas" w:hAnsi="Consolas"/>
          <w:color w:val="333333"/>
          <w:sz w:val="18"/>
        </w:rPr>
        <w:br/>
        <w:t xml:space="preserve">    client.ts                 single exported typed client</w:t>
      </w:r>
      <w:r>
        <w:rPr>
          <w:rFonts w:ascii="Consolas" w:hAnsi="Consolas"/>
          <w:color w:val="333333"/>
          <w:sz w:val="18"/>
        </w:rPr>
        <w:br/>
        <w:t xml:space="preserve">  lib/                        cross-cutting, framework-agnostic utils only</w:t>
      </w:r>
      <w:r>
        <w:rPr>
          <w:rFonts w:ascii="Consolas" w:hAnsi="Consolas"/>
          <w:color w:val="333333"/>
          <w:sz w:val="18"/>
        </w:rPr>
        <w:br/>
        <w:t xml:space="preserve">  tests/</w:t>
      </w:r>
      <w:r>
        <w:rPr>
          <w:rFonts w:ascii="Consolas" w:hAnsi="Consolas"/>
          <w:color w:val="333333"/>
          <w:sz w:val="18"/>
        </w:rPr>
        <w:br/>
        <w:t xml:space="preserve">    unit/  integration/  e2e/</w:t>
      </w:r>
    </w:p>
    <w:p>
      <w:pPr>
        <w:pStyle w:val="Heading1"/>
      </w:pPr>
      <w:r>
        <w:t>5. Data &amp; Domain Model</w:t>
      </w:r>
    </w:p>
    <w:p>
      <w:r>
        <w:t>Replace lib/store.ts's TENANT_SEEDS and lib/tenants.ts's in-memory arrays with real tables. Suggested core entities, derived directly from the fields the current UI already models: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F2D50"/>
          </w:tcPr>
          <w:p>
            <w:r/>
            <w:r>
              <w:rPr>
                <w:b/>
                <w:color w:val="FFFFFF"/>
                <w:sz w:val="21"/>
              </w:rPr>
              <w:t>Entity</w:t>
            </w:r>
          </w:p>
        </w:tc>
        <w:tc>
          <w:tcPr>
            <w:tcW w:type="dxa" w:w="4608"/>
            <w:shd w:val="clear" w:color="auto" w:fill="1F2D50"/>
          </w:tcPr>
          <w:p>
            <w:r/>
            <w:r>
              <w:rPr>
                <w:b/>
                <w:color w:val="FFFFFF"/>
                <w:sz w:val="21"/>
              </w:rPr>
              <w:t>Key fields (from current code)</w:t>
            </w:r>
          </w:p>
        </w:tc>
        <w:tc>
          <w:tcPr>
            <w:tcW w:type="dxa" w:w="3312"/>
            <w:shd w:val="clear" w:color="auto" w:fill="1F2D50"/>
          </w:tcPr>
          <w:p>
            <w:r/>
            <w:r>
              <w:rPr>
                <w:b/>
                <w:color w:val="FFFFFF"/>
                <w:sz w:val="21"/>
              </w:rPr>
              <w:t>Notes</w:t>
            </w:r>
          </w:p>
        </w:tc>
      </w:tr>
      <w:tr>
        <w:tc>
          <w:tcPr>
            <w:tcW w:type="dxa" w:w="2160"/>
          </w:tcPr>
          <w:p>
            <w:r/>
            <w:r>
              <w:rPr>
                <w:sz w:val="20"/>
              </w:rPr>
              <w:t>tenants</w:t>
            </w:r>
          </w:p>
        </w:tc>
        <w:tc>
          <w:tcPr>
            <w:tcW w:type="dxa" w:w="4608"/>
          </w:tcPr>
          <w:p>
            <w:r/>
            <w:r>
              <w:rPr>
                <w:sz w:val="20"/>
              </w:rPr>
              <w:t>slug, name, branch</w:t>
            </w:r>
          </w:p>
        </w:tc>
        <w:tc>
          <w:tcPr>
            <w:tcW w:type="dxa" w:w="3312"/>
          </w:tcPr>
          <w:p>
            <w:r/>
            <w:r>
              <w:rPr>
                <w:sz w:val="20"/>
              </w:rPr>
              <w:t>Replaces hardcoded TENANTS array</w:t>
            </w:r>
          </w:p>
        </w:tc>
      </w:tr>
      <w:tr>
        <w:tc>
          <w:tcPr>
            <w:tcW w:type="dxa" w:w="2160"/>
          </w:tcPr>
          <w:p>
            <w:r/>
            <w:r>
              <w:rPr>
                <w:sz w:val="20"/>
              </w:rPr>
              <w:t>users</w:t>
            </w:r>
          </w:p>
        </w:tc>
        <w:tc>
          <w:tcPr>
            <w:tcW w:type="dxa" w:w="4608"/>
          </w:tcPr>
          <w:p>
            <w:r/>
            <w:r>
              <w:rPr>
                <w:sz w:val="20"/>
              </w:rPr>
              <w:t>tenant_id, name, username, password_hash, role, menus[]</w:t>
            </w:r>
          </w:p>
        </w:tc>
        <w:tc>
          <w:tcPr>
            <w:tcW w:type="dxa" w:w="3312"/>
          </w:tcPr>
          <w:p>
            <w:r/>
            <w:r>
              <w:rPr>
                <w:sz w:val="20"/>
              </w:rPr>
              <w:t>Replaces TENANT_USERS; passwords must be hashed (bcrypt/argon2) — currently plaintext</w:t>
            </w:r>
          </w:p>
        </w:tc>
      </w:tr>
      <w:tr>
        <w:tc>
          <w:tcPr>
            <w:tcW w:type="dxa" w:w="2160"/>
          </w:tcPr>
          <w:p>
            <w:r/>
            <w:r>
              <w:rPr>
                <w:sz w:val="20"/>
              </w:rPr>
              <w:t>staff (barbers)</w:t>
            </w:r>
          </w:p>
        </w:tc>
        <w:tc>
          <w:tcPr>
            <w:tcW w:type="dxa" w:w="4608"/>
          </w:tcPr>
          <w:p>
            <w:r/>
            <w:r>
              <w:rPr>
                <w:sz w:val="20"/>
              </w:rPr>
              <w:t>tenant_id, name, initials</w:t>
            </w:r>
          </w:p>
        </w:tc>
        <w:tc>
          <w:tcPr>
            <w:tcW w:type="dxa" w:w="3312"/>
          </w:tcPr>
          <w:p>
            <w:r/>
            <w:r>
              <w:rPr>
                <w:sz w:val="20"/>
              </w:rPr>
              <w:t>From Barber interface</w:t>
            </w:r>
          </w:p>
        </w:tc>
      </w:tr>
      <w:tr>
        <w:tc>
          <w:tcPr>
            <w:tcW w:type="dxa" w:w="2160"/>
          </w:tcPr>
          <w:p>
            <w:r/>
            <w:r>
              <w:rPr>
                <w:sz w:val="20"/>
              </w:rPr>
              <w:t>services</w:t>
            </w:r>
          </w:p>
        </w:tc>
        <w:tc>
          <w:tcPr>
            <w:tcW w:type="dxa" w:w="4608"/>
          </w:tcPr>
          <w:p>
            <w:r/>
            <w:r>
              <w:rPr>
                <w:sz w:val="20"/>
              </w:rPr>
              <w:t>tenant_id, name, price</w:t>
            </w:r>
          </w:p>
        </w:tc>
        <w:tc>
          <w:tcPr>
            <w:tcW w:type="dxa" w:w="3312"/>
          </w:tcPr>
          <w:p>
            <w:r/>
            <w:r>
              <w:rPr>
                <w:sz w:val="20"/>
              </w:rPr>
              <w:t>From Service interface</w:t>
            </w:r>
          </w:p>
        </w:tc>
      </w:tr>
      <w:tr>
        <w:tc>
          <w:tcPr>
            <w:tcW w:type="dxa" w:w="2160"/>
          </w:tcPr>
          <w:p>
            <w:r/>
            <w:r>
              <w:rPr>
                <w:sz w:val="20"/>
              </w:rPr>
              <w:t>customers</w:t>
            </w:r>
          </w:p>
        </w:tc>
        <w:tc>
          <w:tcPr>
            <w:tcW w:type="dxa" w:w="4608"/>
          </w:tcPr>
          <w:p>
            <w:r/>
            <w:r>
              <w:rPr>
                <w:sz w:val="20"/>
              </w:rPr>
              <w:t>tenant_id, name, phone, visit_count</w:t>
            </w:r>
          </w:p>
        </w:tc>
        <w:tc>
          <w:tcPr>
            <w:tcW w:type="dxa" w:w="3312"/>
          </w:tcPr>
          <w:p>
            <w:r/>
            <w:r>
              <w:rPr>
                <w:sz w:val="20"/>
              </w:rPr>
              <w:t>From Customer interface</w:t>
            </w:r>
          </w:p>
        </w:tc>
      </w:tr>
      <w:tr>
        <w:tc>
          <w:tcPr>
            <w:tcW w:type="dxa" w:w="2160"/>
          </w:tcPr>
          <w:p>
            <w:r/>
            <w:r>
              <w:rPr>
                <w:sz w:val="20"/>
              </w:rPr>
              <w:t>appointments</w:t>
            </w:r>
          </w:p>
        </w:tc>
        <w:tc>
          <w:tcPr>
            <w:tcW w:type="dxa" w:w="4608"/>
          </w:tcPr>
          <w:p>
            <w:r/>
            <w:r>
              <w:rPr>
                <w:sz w:val="20"/>
              </w:rPr>
              <w:t>tenant_id, customer_id, service_id, staff_id, time, type, status, paid, method</w:t>
            </w:r>
          </w:p>
        </w:tc>
        <w:tc>
          <w:tcPr>
            <w:tcW w:type="dxa" w:w="3312"/>
          </w:tcPr>
          <w:p>
            <w:r/>
            <w:r>
              <w:rPr>
                <w:sz w:val="20"/>
              </w:rPr>
              <w:t>From Appointment interface</w:t>
            </w:r>
          </w:p>
        </w:tc>
      </w:tr>
      <w:tr>
        <w:tc>
          <w:tcPr>
            <w:tcW w:type="dxa" w:w="2160"/>
          </w:tcPr>
          <w:p>
            <w:r/>
            <w:r>
              <w:rPr>
                <w:sz w:val="20"/>
              </w:rPr>
              <w:t>payments</w:t>
            </w:r>
          </w:p>
        </w:tc>
        <w:tc>
          <w:tcPr>
            <w:tcW w:type="dxa" w:w="4608"/>
          </w:tcPr>
          <w:p>
            <w:r/>
            <w:r>
              <w:rPr>
                <w:sz w:val="20"/>
              </w:rPr>
              <w:t>appointment_id, amount, method, paid_at</w:t>
            </w:r>
          </w:p>
        </w:tc>
        <w:tc>
          <w:tcPr>
            <w:tcW w:type="dxa" w:w="3312"/>
          </w:tcPr>
          <w:p>
            <w:r/>
            <w:r>
              <w:rPr>
                <w:sz w:val="20"/>
              </w:rPr>
              <w:t>Currently just booleans on the appointment — split out for a real ledger</w:t>
            </w:r>
          </w:p>
        </w:tc>
      </w:tr>
      <w:tr>
        <w:tc>
          <w:tcPr>
            <w:tcW w:type="dxa" w:w="2160"/>
          </w:tcPr>
          <w:p>
            <w:r/>
            <w:r>
              <w:rPr>
                <w:sz w:val="20"/>
              </w:rPr>
              <w:t>inventory_items / stock_movements</w:t>
            </w:r>
          </w:p>
        </w:tc>
        <w:tc>
          <w:tcPr>
            <w:tcW w:type="dxa" w:w="4608"/>
          </w:tcPr>
          <w:p>
            <w:r/>
            <w:r>
              <w:rPr>
                <w:sz w:val="20"/>
              </w:rPr>
              <w:t>tenant_id, item, qty, movement</w:t>
            </w:r>
          </w:p>
        </w:tc>
        <w:tc>
          <w:tcPr>
            <w:tcW w:type="dxa" w:w="3312"/>
          </w:tcPr>
          <w:p>
            <w:r/>
            <w:r>
              <w:rPr>
                <w:sz w:val="20"/>
              </w:rPr>
              <w:t>New — InventoryView currently has no backing model</w:t>
            </w:r>
          </w:p>
        </w:tc>
      </w:tr>
      <w:tr>
        <w:tc>
          <w:tcPr>
            <w:tcW w:type="dxa" w:w="2160"/>
          </w:tcPr>
          <w:p>
            <w:r/>
            <w:r>
              <w:rPr>
                <w:sz w:val="20"/>
              </w:rPr>
              <w:t>finance_entries</w:t>
            </w:r>
          </w:p>
        </w:tc>
        <w:tc>
          <w:tcPr>
            <w:tcW w:type="dxa" w:w="4608"/>
          </w:tcPr>
          <w:p>
            <w:r/>
            <w:r>
              <w:rPr>
                <w:sz w:val="20"/>
              </w:rPr>
              <w:t>tenant_id, type, amount, date</w:t>
            </w:r>
          </w:p>
        </w:tc>
        <w:tc>
          <w:tcPr>
            <w:tcW w:type="dxa" w:w="3312"/>
          </w:tcPr>
          <w:p>
            <w:r/>
            <w:r>
              <w:rPr>
                <w:sz w:val="20"/>
              </w:rPr>
              <w:t>New — FinanceView currently has no backing model</w:t>
            </w:r>
          </w:p>
        </w:tc>
      </w:tr>
    </w:tbl>
    <w:p/>
    <w:p>
      <w:pPr>
        <w:pStyle w:val="ListBullet"/>
      </w:pPr>
      <w:r>
        <w:rPr>
          <w:b/>
        </w:rPr>
        <w:t xml:space="preserve">Multi-tenant isolation: </w:t>
      </w:r>
      <w:r>
        <w:t>add tenant_id to every table and turn on Postgres Row-Level Security (Supabase supports this natively) so isolation is enforced by the database, not by an application-level filter that a future bug could bypass.</w:t>
      </w:r>
    </w:p>
    <w:p>
      <w:pPr>
        <w:pStyle w:val="ListBullet"/>
      </w:pPr>
      <w:r>
        <w:rPr>
          <w:b/>
        </w:rPr>
        <w:t xml:space="preserve">ORM: </w:t>
      </w:r>
      <w:r>
        <w:t>Prisma or Drizzle for typed queries + migrations, on top of the Supabase Postgres instance already provisioned for the assistant (as a separate schema/project from the demo sales data).</w:t>
      </w:r>
    </w:p>
    <w:p>
      <w:pPr>
        <w:pStyle w:val="Heading1"/>
      </w:pPr>
      <w:r>
        <w:t>6. Step-by-Step Development Roadmap</w:t>
      </w:r>
    </w:p>
    <w:p>
      <w:pPr>
        <w:pStyle w:val="Heading2"/>
      </w:pPr>
      <w:r>
        <w:t>Phase 0 — Foundations</w:t>
      </w:r>
    </w:p>
    <w:p>
      <w:pPr>
        <w:pStyle w:val="ListBullet"/>
      </w:pPr>
      <w:r>
        <w:t>Pick the ORM (Prisma or Drizzle) and provision a Postgres schema separate from the assistant’s demo sales DB.</w:t>
      </w:r>
    </w:p>
    <w:p>
      <w:pPr>
        <w:pStyle w:val="ListBullet"/>
      </w:pPr>
      <w:r>
        <w:t>Set up CI: lint, typecheck, unit tests on every PR.</w:t>
      </w:r>
    </w:p>
    <w:p>
      <w:pPr>
        <w:pStyle w:val="ListBullet"/>
      </w:pPr>
      <w:r>
        <w:t>Add the module-boundary lint rule (eslint-plugin-boundaries) so frontend/backend/db separation is enforced from day one.</w:t>
      </w:r>
    </w:p>
    <w:p>
      <w:pPr>
        <w:pStyle w:val="Heading2"/>
      </w:pPr>
      <w:r>
        <w:t>Phase 1 — Database module</w:t>
      </w:r>
    </w:p>
    <w:p>
      <w:pPr>
        <w:pStyle w:val="ListBullet"/>
      </w:pPr>
      <w:r>
        <w:t>Model the schema in Section 5; write initial migration.</w:t>
      </w:r>
    </w:p>
    <w:p>
      <w:pPr>
        <w:pStyle w:val="ListBullet"/>
      </w:pPr>
      <w:r>
        <w:t>Write a seed script that ports today’s TENANT_SEEDS data into real rows (Meridian Salon, Bro Barber) for local dev/demo.</w:t>
      </w:r>
    </w:p>
    <w:p>
      <w:pPr>
        <w:pStyle w:val="ListBullet"/>
      </w:pPr>
      <w:r>
        <w:t>Enable Row-Level Security policies keyed on tenant_id.</w:t>
      </w:r>
    </w:p>
    <w:p>
      <w:pPr>
        <w:pStyle w:val="Heading2"/>
      </w:pPr>
      <w:r>
        <w:t>Phase 2 — Backend/API module</w:t>
      </w:r>
    </w:p>
    <w:p>
      <w:pPr>
        <w:pStyle w:val="ListBullet"/>
      </w:pPr>
      <w:r>
        <w:t>Auth first: move users into the DB, hash passwords, keep the existing HMAC-signed cookie session pattern (it’s sound) but back verifyCredentials() with real DB rows.</w:t>
      </w:r>
    </w:p>
    <w:p>
      <w:pPr>
        <w:pStyle w:val="ListBullet"/>
      </w:pPr>
      <w:r>
        <w:t>Build one domain at a time, each as schema.ts + service.ts + repository.ts + actions.ts: Tenants/Auth -&gt; Staff &amp; Services -&gt; Customers -&gt; Appointments -&gt; Billing/Payments -&gt; Inventory -&gt; Finance.</w:t>
      </w:r>
    </w:p>
    <w:p>
      <w:pPr>
        <w:pStyle w:val="ListBullet"/>
      </w:pPr>
      <w:r>
        <w:t>Centralize RBAC (role + tenant + menu-grant checks) in one server/shared/rbac.ts helper instead of re-implementing the same guard in every action.</w:t>
      </w:r>
    </w:p>
    <w:p>
      <w:pPr>
        <w:pStyle w:val="Heading2"/>
      </w:pPr>
      <w:r>
        <w:t>Phase 3 — Frontend module rework</w:t>
      </w:r>
    </w:p>
    <w:p>
      <w:pPr>
        <w:pStyle w:val="ListBullet"/>
      </w:pPr>
      <w:r>
        <w:t>Replace lib/StoreContext.tsx’s client-only reducer with real data fetching: Server Components for reads, Server Actions (already the existing pattern) for writes, via the new server/ module.</w:t>
      </w:r>
    </w:p>
    <w:p>
      <w:pPr>
        <w:pStyle w:val="ListBullet"/>
      </w:pPr>
      <w:r>
        <w:t>Keep a slim client context only for UI-only state (booking draft in progress, active tab, toast messages).</w:t>
      </w:r>
    </w:p>
    <w:p>
      <w:pPr>
        <w:pStyle w:val="ListBullet"/>
      </w:pPr>
      <w:r>
        <w:t>Views (AppointmentsView, BillingView, etc.) mostly keep their JSX/markup as-is — they were already reasonably presentational — swap their data source from the in-memory store to the new backend calls.</w:t>
      </w:r>
    </w:p>
    <w:p>
      <w:pPr>
        <w:pStyle w:val="Heading2"/>
      </w:pPr>
      <w:r>
        <w:t>Phase 4 — AI Assistant module hardening</w:t>
      </w:r>
    </w:p>
    <w:p>
      <w:pPr>
        <w:pStyle w:val="ListBullet"/>
      </w:pPr>
      <w:r>
        <w:t>Relocate lib/assistant/ under server/assistant/ to match the new convention; keep supabase.ts as its repository.</w:t>
      </w:r>
    </w:p>
    <w:p>
      <w:pPr>
        <w:pStyle w:val="ListBullet"/>
      </w:pPr>
      <w:r>
        <w:t>Persist uploaded-document embeddings (e.g. pgvector via Supabase) instead of the in-memory MemoryVectorStore, so RAG survives a server restart.</w:t>
      </w:r>
    </w:p>
    <w:p>
      <w:pPr>
        <w:pStyle w:val="Heading2"/>
      </w:pPr>
      <w:r>
        <w:t>Phase 5 — Testing &amp; quality</w:t>
      </w:r>
    </w:p>
    <w:p>
      <w:pPr>
        <w:pStyle w:val="ListBullet"/>
      </w:pPr>
      <w:r>
        <w:t>Unit tests for every service/repository (Vitest).</w:t>
      </w:r>
    </w:p>
    <w:p>
      <w:pPr>
        <w:pStyle w:val="ListBullet"/>
      </w:pPr>
      <w:r>
        <w:t>Integration tests for Server Actions / Route Handlers.</w:t>
      </w:r>
    </w:p>
    <w:p>
      <w:pPr>
        <w:pStyle w:val="ListBullet"/>
      </w:pPr>
      <w:r>
        <w:t>Component tests (React Testing Library) for views; a small Playwright e2e suite for login -&gt; book -&gt; pay.</w:t>
      </w:r>
    </w:p>
    <w:p>
      <w:pPr>
        <w:pStyle w:val="Heading2"/>
      </w:pPr>
      <w:r>
        <w:t>Phase 6 — Observability &amp; deployment</w:t>
      </w:r>
    </w:p>
    <w:p>
      <w:pPr>
        <w:pStyle w:val="ListBullet"/>
      </w:pPr>
      <w:r>
        <w:t>Structured logging + error tracking (e.g. Sentry); a health-check route.</w:t>
      </w:r>
    </w:p>
    <w:p>
      <w:pPr>
        <w:pStyle w:val="ListBullet"/>
      </w:pPr>
      <w:r>
        <w:t>CI/CD runs migrations before deploy; single Next.js deploy target (Vercel or a Node server) — still one artifact.</w:t>
      </w:r>
    </w:p>
    <w:p>
      <w:pPr>
        <w:pStyle w:val="ListBullet"/>
      </w:pPr>
      <w:r>
        <w:t>Onboarding a new tenant becomes a database insert, not an edit to a hardcoded TS array.</w:t>
      </w:r>
    </w:p>
    <w:p>
      <w:pPr>
        <w:pStyle w:val="Heading2"/>
      </w:pPr>
      <w:r>
        <w:t>Why this order pays off later</w:t>
      </w:r>
    </w:p>
    <w:p>
      <w:r>
        <w:t>Because each module only talks to its neighbor through a defined interface, any layer can be extracted later without a rewrite: the database module could sit behind a real HTTP API if a mobile app needs it; the backend module could become a standalone service if load requires it. The monolith is a deployment choice, not an architecture limitation — the modularity is what buys back the optionality.</w:t>
      </w:r>
    </w:p>
    <w:p>
      <w:pPr>
        <w:pStyle w:val="Heading1"/>
      </w:pPr>
      <w:r>
        <w:t>7. Tech Stack Recommendation</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2D50"/>
          </w:tcPr>
          <w:p>
            <w:r/>
            <w:r>
              <w:rPr>
                <w:b/>
                <w:color w:val="FFFFFF"/>
                <w:sz w:val="21"/>
              </w:rPr>
              <w:t>Layer</w:t>
            </w:r>
          </w:p>
        </w:tc>
        <w:tc>
          <w:tcPr>
            <w:tcW w:type="dxa" w:w="3888"/>
            <w:shd w:val="clear" w:color="auto" w:fill="1F2D50"/>
          </w:tcPr>
          <w:p>
            <w:r/>
            <w:r>
              <w:rPr>
                <w:b/>
                <w:color w:val="FFFFFF"/>
                <w:sz w:val="21"/>
              </w:rPr>
              <w:t>Keep from today</w:t>
            </w:r>
          </w:p>
        </w:tc>
        <w:tc>
          <w:tcPr>
            <w:tcW w:type="dxa" w:w="4320"/>
            <w:shd w:val="clear" w:color="auto" w:fill="1F2D50"/>
          </w:tcPr>
          <w:p>
            <w:r/>
            <w:r>
              <w:rPr>
                <w:b/>
                <w:color w:val="FFFFFF"/>
                <w:sz w:val="21"/>
              </w:rPr>
              <w:t>Add</w:t>
            </w:r>
          </w:p>
        </w:tc>
      </w:tr>
      <w:tr>
        <w:tc>
          <w:tcPr>
            <w:tcW w:type="dxa" w:w="1872"/>
          </w:tcPr>
          <w:p>
            <w:r/>
            <w:r>
              <w:rPr>
                <w:sz w:val="20"/>
              </w:rPr>
              <w:t>Frontend</w:t>
            </w:r>
          </w:p>
        </w:tc>
        <w:tc>
          <w:tcPr>
            <w:tcW w:type="dxa" w:w="3888"/>
          </w:tcPr>
          <w:p>
            <w:r/>
            <w:r>
              <w:rPr>
                <w:sz w:val="20"/>
              </w:rPr>
              <w:t>Next.js App Router, React 19, Tailwind</w:t>
            </w:r>
          </w:p>
        </w:tc>
        <w:tc>
          <w:tcPr>
            <w:tcW w:type="dxa" w:w="4320"/>
          </w:tcPr>
          <w:p>
            <w:r/>
            <w:r>
              <w:rPr>
                <w:sz w:val="20"/>
              </w:rPr>
              <w:t>TanStack Query (or Server Component streaming) for data fetching</w:t>
            </w:r>
          </w:p>
        </w:tc>
      </w:tr>
      <w:tr>
        <w:tc>
          <w:tcPr>
            <w:tcW w:type="dxa" w:w="1872"/>
          </w:tcPr>
          <w:p>
            <w:r/>
            <w:r>
              <w:rPr>
                <w:sz w:val="20"/>
              </w:rPr>
              <w:t>Backend/API</w:t>
            </w:r>
          </w:p>
        </w:tc>
        <w:tc>
          <w:tcPr>
            <w:tcW w:type="dxa" w:w="3888"/>
          </w:tcPr>
          <w:p>
            <w:r/>
            <w:r>
              <w:rPr>
                <w:sz w:val="20"/>
              </w:rPr>
              <w:t>Server Actions, zod (already a dependency)</w:t>
            </w:r>
          </w:p>
        </w:tc>
        <w:tc>
          <w:tcPr>
            <w:tcW w:type="dxa" w:w="4320"/>
          </w:tcPr>
          <w:p>
            <w:r/>
            <w:r>
              <w:rPr>
                <w:sz w:val="20"/>
              </w:rPr>
              <w:t>Domain-organized services/repositories, centralized RBAC helper</w:t>
            </w:r>
          </w:p>
        </w:tc>
      </w:tr>
      <w:tr>
        <w:tc>
          <w:tcPr>
            <w:tcW w:type="dxa" w:w="1872"/>
          </w:tcPr>
          <w:p>
            <w:r/>
            <w:r>
              <w:rPr>
                <w:sz w:val="20"/>
              </w:rPr>
              <w:t>Database</w:t>
            </w:r>
          </w:p>
        </w:tc>
        <w:tc>
          <w:tcPr>
            <w:tcW w:type="dxa" w:w="3888"/>
          </w:tcPr>
          <w:p>
            <w:r/>
            <w:r>
              <w:rPr>
                <w:sz w:val="20"/>
              </w:rPr>
              <w:t>Supabase Postgres (already provisioned)</w:t>
            </w:r>
          </w:p>
        </w:tc>
        <w:tc>
          <w:tcPr>
            <w:tcW w:type="dxa" w:w="4320"/>
          </w:tcPr>
          <w:p>
            <w:r/>
            <w:r>
              <w:rPr>
                <w:sz w:val="20"/>
              </w:rPr>
              <w:t>Prisma or Drizzle, migrations, Row-Level Security, pgvector for RAG</w:t>
            </w:r>
          </w:p>
        </w:tc>
      </w:tr>
      <w:tr>
        <w:tc>
          <w:tcPr>
            <w:tcW w:type="dxa" w:w="1872"/>
          </w:tcPr>
          <w:p>
            <w:r/>
            <w:r>
              <w:rPr>
                <w:sz w:val="20"/>
              </w:rPr>
              <w:t>Auth</w:t>
            </w:r>
          </w:p>
        </w:tc>
        <w:tc>
          <w:tcPr>
            <w:tcW w:type="dxa" w:w="3888"/>
          </w:tcPr>
          <w:p>
            <w:r/>
            <w:r>
              <w:rPr>
                <w:sz w:val="20"/>
              </w:rPr>
              <w:t>HMAC-signed cookie session (lib/session.ts)</w:t>
            </w:r>
          </w:p>
        </w:tc>
        <w:tc>
          <w:tcPr>
            <w:tcW w:type="dxa" w:w="4320"/>
          </w:tcPr>
          <w:p>
            <w:r/>
            <w:r>
              <w:rPr>
                <w:sz w:val="20"/>
              </w:rPr>
              <w:t>DB-backed users table, bcrypt/argon2 password hashing</w:t>
            </w:r>
          </w:p>
        </w:tc>
      </w:tr>
      <w:tr>
        <w:tc>
          <w:tcPr>
            <w:tcW w:type="dxa" w:w="1872"/>
          </w:tcPr>
          <w:p>
            <w:r/>
            <w:r>
              <w:rPr>
                <w:sz w:val="20"/>
              </w:rPr>
              <w:t>Testing</w:t>
            </w:r>
          </w:p>
        </w:tc>
        <w:tc>
          <w:tcPr>
            <w:tcW w:type="dxa" w:w="3888"/>
          </w:tcPr>
          <w:p>
            <w:r/>
            <w:r>
              <w:rPr>
                <w:sz w:val="20"/>
              </w:rPr>
              <w:t>(none today)</w:t>
            </w:r>
          </w:p>
        </w:tc>
        <w:tc>
          <w:tcPr>
            <w:tcW w:type="dxa" w:w="4320"/>
          </w:tcPr>
          <w:p>
            <w:r/>
            <w:r>
              <w:rPr>
                <w:sz w:val="20"/>
              </w:rPr>
              <w:t>Vitest, React Testing Library, Playwright</w:t>
            </w:r>
          </w:p>
        </w:tc>
      </w:tr>
      <w:tr>
        <w:tc>
          <w:tcPr>
            <w:tcW w:type="dxa" w:w="1872"/>
          </w:tcPr>
          <w:p>
            <w:r/>
            <w:r>
              <w:rPr>
                <w:sz w:val="20"/>
              </w:rPr>
              <w:t>Tooling</w:t>
            </w:r>
          </w:p>
        </w:tc>
        <w:tc>
          <w:tcPr>
            <w:tcW w:type="dxa" w:w="3888"/>
          </w:tcPr>
          <w:p>
            <w:r/>
            <w:r>
              <w:rPr>
                <w:sz w:val="20"/>
              </w:rPr>
              <w:t>ESLint</w:t>
            </w:r>
          </w:p>
        </w:tc>
        <w:tc>
          <w:tcPr>
            <w:tcW w:type="dxa" w:w="4320"/>
          </w:tcPr>
          <w:p>
            <w:r/>
            <w:r>
              <w:rPr>
                <w:sz w:val="20"/>
              </w:rPr>
              <w:t>eslint-plugin-boundaries / dependency-cruiser for module-boundary enforcement</w:t>
            </w:r>
          </w:p>
        </w:tc>
      </w:tr>
    </w:tbl>
    <w:p>
      <w:pPr>
        <w:pStyle w:val="Heading1"/>
      </w:pPr>
      <w:r>
        <w:t>8. Migration Map — Current Code to New Structure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2D50"/>
          </w:tcPr>
          <w:p>
            <w:r/>
            <w:r>
              <w:rPr>
                <w:b/>
                <w:color w:val="FFFFFF"/>
                <w:sz w:val="21"/>
              </w:rPr>
              <w:t>Today</w:t>
            </w:r>
          </w:p>
        </w:tc>
        <w:tc>
          <w:tcPr>
            <w:tcW w:type="dxa" w:w="5760"/>
            <w:shd w:val="clear" w:color="auto" w:fill="1F2D50"/>
          </w:tcPr>
          <w:p>
            <w:r/>
            <w:r>
              <w:rPr>
                <w:b/>
                <w:color w:val="FFFFFF"/>
                <w:sz w:val="21"/>
              </w:rPr>
              <w:t>Becomes</w:t>
            </w:r>
          </w:p>
        </w:tc>
      </w:tr>
      <w:tr>
        <w:tc>
          <w:tcPr>
            <w:tcW w:type="dxa" w:w="4320"/>
          </w:tcPr>
          <w:p>
            <w:r/>
            <w:r>
              <w:rPr>
                <w:sz w:val="20"/>
              </w:rPr>
              <w:t>lib/store.ts (TENANT_SEEDS + helpers)</w:t>
            </w:r>
          </w:p>
        </w:tc>
        <w:tc>
          <w:tcPr>
            <w:tcW w:type="dxa" w:w="5760"/>
          </w:tcPr>
          <w:p>
            <w:r/>
            <w:r>
              <w:rPr>
                <w:sz w:val="20"/>
              </w:rPr>
              <w:t>db/seed.ts (real rows) + server/&lt;domain&gt;/service.ts (getMetrics, money, etc.)</w:t>
            </w:r>
          </w:p>
        </w:tc>
      </w:tr>
      <w:tr>
        <w:tc>
          <w:tcPr>
            <w:tcW w:type="dxa" w:w="4320"/>
          </w:tcPr>
          <w:p>
            <w:r/>
            <w:r>
              <w:rPr>
                <w:sz w:val="20"/>
              </w:rPr>
              <w:t>lib/StoreContext.tsx</w:t>
            </w:r>
          </w:p>
        </w:tc>
        <w:tc>
          <w:tcPr>
            <w:tcW w:type="dxa" w:w="5760"/>
          </w:tcPr>
          <w:p>
            <w:r/>
            <w:r>
              <w:rPr>
                <w:sz w:val="20"/>
              </w:rPr>
              <w:t>Thin client context for UI-only state + TanStack Query hooks calling server actions</w:t>
            </w:r>
          </w:p>
        </w:tc>
      </w:tr>
      <w:tr>
        <w:tc>
          <w:tcPr>
            <w:tcW w:type="dxa" w:w="4320"/>
          </w:tcPr>
          <w:p>
            <w:r/>
            <w:r>
              <w:rPr>
                <w:sz w:val="20"/>
              </w:rPr>
              <w:t>lib/tenants.ts</w:t>
            </w:r>
          </w:p>
        </w:tc>
        <w:tc>
          <w:tcPr>
            <w:tcW w:type="dxa" w:w="5760"/>
          </w:tcPr>
          <w:p>
            <w:r/>
            <w:r>
              <w:rPr>
                <w:sz w:val="20"/>
              </w:rPr>
              <w:t>db tenants/users tables + server/tenants/repository.ts</w:t>
            </w:r>
          </w:p>
        </w:tc>
      </w:tr>
      <w:tr>
        <w:tc>
          <w:tcPr>
            <w:tcW w:type="dxa" w:w="4320"/>
          </w:tcPr>
          <w:p>
            <w:r/>
            <w:r>
              <w:rPr>
                <w:sz w:val="20"/>
              </w:rPr>
              <w:t>lib/auth.ts + lib/session.ts</w:t>
            </w:r>
          </w:p>
        </w:tc>
        <w:tc>
          <w:tcPr>
            <w:tcW w:type="dxa" w:w="5760"/>
          </w:tcPr>
          <w:p>
            <w:r/>
            <w:r>
              <w:rPr>
                <w:sz w:val="20"/>
              </w:rPr>
              <w:t>server/auth/service.ts (DB-backed) + session.ts kept largely as-is</w:t>
            </w:r>
          </w:p>
        </w:tc>
      </w:tr>
      <w:tr>
        <w:tc>
          <w:tcPr>
            <w:tcW w:type="dxa" w:w="4320"/>
          </w:tcPr>
          <w:p>
            <w:r/>
            <w:r>
              <w:rPr>
                <w:sz w:val="20"/>
              </w:rPr>
              <w:t>app/actions/auth.ts, users.ts</w:t>
            </w:r>
          </w:p>
        </w:tc>
        <w:tc>
          <w:tcPr>
            <w:tcW w:type="dxa" w:w="5760"/>
          </w:tcPr>
          <w:p>
            <w:r/>
            <w:r>
              <w:rPr>
                <w:sz w:val="20"/>
              </w:rPr>
              <w:t>Expanded per-domain server/&lt;domain&gt;/actions.ts files</w:t>
            </w:r>
          </w:p>
        </w:tc>
      </w:tr>
      <w:tr>
        <w:tc>
          <w:tcPr>
            <w:tcW w:type="dxa" w:w="4320"/>
          </w:tcPr>
          <w:p>
            <w:r/>
            <w:r>
              <w:rPr>
                <w:sz w:val="20"/>
              </w:rPr>
              <w:t>lib/assistant/*</w:t>
            </w:r>
          </w:p>
        </w:tc>
        <w:tc>
          <w:tcPr>
            <w:tcW w:type="dxa" w:w="5760"/>
          </w:tcPr>
          <w:p>
            <w:r/>
            <w:r>
              <w:rPr>
                <w:sz w:val="20"/>
              </w:rPr>
              <w:t>server/assistant/* (same files, relocated; supabase.ts becomes its repository.ts)</w:t>
            </w:r>
          </w:p>
        </w:tc>
      </w:tr>
    </w:tbl>
    <w:p>
      <w:pPr>
        <w:pStyle w:val="Heading1"/>
      </w:pPr>
      <w:r>
        <w:t>9. Risks &amp; Considerations</w:t>
      </w:r>
    </w:p>
    <w:p>
      <w:pPr>
        <w:pStyle w:val="ListBullet"/>
      </w:pPr>
      <w:r>
        <w:t>Enforce tenant isolation at the database level (Row-Level Security), not just an application-side filter — an app-level bug should not be able to leak cross-tenant data.</w:t>
      </w:r>
    </w:p>
    <w:p>
      <w:pPr>
        <w:pStyle w:val="ListBullet"/>
      </w:pPr>
      <w:r>
        <w:t>Password values currently sit in plaintext in TS/env files (tenants.ts, auth.ts) — hash before any real users touch the system.</w:t>
      </w:r>
    </w:p>
    <w:p>
      <w:pPr>
        <w:pStyle w:val="ListBullet"/>
      </w:pPr>
      <w:r>
        <w:t>There is no live data to migrate today, which is a gift: the schema can be designed cleanly rather than reverse-engineered from a legacy database.</w:t>
      </w:r>
    </w:p>
    <w:p>
      <w:pPr>
        <w:pStyle w:val="ListBullet"/>
      </w:pPr>
      <w:r>
        <w:t>Resist the pull toward microservices prematurely — the modular monolith gives most of the benefit (testability, clear ownership, future extractability) without the operational cost of network boundaries, service discovery, or distributed transactions at this stage.</w:t>
      </w:r>
    </w:p>
    <w:p>
      <w:pPr>
        <w:pStyle w:val="Heading1"/>
      </w:pPr>
      <w:r>
        <w:t>10. Summary</w:t>
      </w:r>
    </w:p>
    <w:p>
      <w:r>
        <w:t>Nexife Salon today is a well-designed UI prototype sitting on no real backend for its core domain — everything except the AI assistant lives in memory and disappears on refresh. The path forward is not a rewrite of the UI, which is already reasonably componentized, but the introduction of two modules that don’t yet exist for the core app: a real database module (Postgres, with tenant-isolated tables and migrations) and a real backend module (domain-organized services and repositories with enforced import boundaries). Built in the order above — database, then backend, then frontend rewiring — the app becomes a genuine modular monolith: one deployable process today, with the clean seams to split apart later if and when the product needs it.</w:t>
      </w:r>
    </w:p>
    <w:p>
      <w:pPr/>
    </w:p>
    <w:p>
      <w:pPr>
        <w:pStyle w:val="Heading1"/>
      </w:pPr>
      <w:r>
        <w:t>11. Addendum — Realtime Reconciliation (Added October 1, 2026)</w:t>
      </w:r>
    </w:p>
    <w:p>
      <w:pPr/>
      <w:r>
        <w:t>This section records a reverification pass done against this document from a separate chat that first analyzed the app without having read this file in full. It corrects that chat's gaps and adds what this document did not yet cover: realtime behavior.</w:t>
      </w:r>
    </w:p>
    <w:p>
      <w:pPr>
        <w:pStyle w:val="Heading2"/>
      </w:pPr>
      <w:r>
        <w:t>11.1 Corrections after reverifying against this document</w:t>
      </w:r>
    </w:p>
    <w:p>
      <w:pPr>
        <w:pStyle w:val="ListBullet"/>
      </w:pPr>
      <w:r>
        <w:t>The earlier chat analysis described Supabase generally as “the data layer”. That is wrong for the core app: per Section 2.1–2.2, Supabase only backs the AI assistant's demo sales tools. Appointments, customers, billing, staff, inventory, and finance have zero persistence today — this remains the single most important finding, and this document's Section 2.2 already states it correctly.</w:t>
      </w:r>
    </w:p>
    <w:p>
      <w:pPr>
        <w:pStyle w:val="ListBullet"/>
      </w:pPr>
      <w:r>
        <w:t>The earlier chat recommended replacing the hand-rolled HMAC-signed cookie session with Supabase Auth or Auth.js. Withdrawn — agreeing instead with Section 7/Section 9 of this document: keep lib/session.ts as-is, back verifyCredentials() with a real DB-backed users table, and hash passwords (bcrypt/argon2). No need for an additional auth provider.</w:t>
      </w:r>
    </w:p>
    <w:p>
      <w:pPr>
        <w:pStyle w:val="ListBullet"/>
      </w:pPr>
      <w:r>
        <w:t>The earlier chat recommended splitting the AI/realtime layer into a separate backend service (Fastify/NestJS) on the grounds that streaming and WebSockets don't fit serverless hosting. Withdrawn in favor of this document's Section 3.2/Section 9 position (resist microservices at this stage). The deployment target — serverless vs. a long-running Node process — is what actually determines whether streaming/WebSockets work, not the codebase boundary. See 11.2.</w:t>
      </w:r>
    </w:p>
    <w:p>
      <w:pPr>
        <w:pStyle w:val="Heading2"/>
      </w:pPr>
      <w:r>
        <w:t>11.2 Gap: this document does not yet address “realtime”</w:t>
      </w:r>
    </w:p>
    <w:p>
      <w:pPr/>
      <w:r>
        <w:t>The product brief calls for a realtime, AI-heavy app. The modular-monolith plan in Sections 3–6 is correct but silent on three realtime concerns, all of which fit inside the existing plan without changing the architecture:</w:t>
      </w:r>
    </w:p>
    <w:p>
      <w:pPr>
        <w:pStyle w:val="ListBullet"/>
      </w:pPr>
      <w:r>
        <w:t>Streaming AI responses — app/api/assistant/chat/route.ts currently calls agent.invoke() and returns one blocking JSON payload. For gpt-4o plus tool calls plus RAG, that reads as slow. Switch to a streamed response (Vercel AI SDK streamText/toDataStreamResponse, or a hand-rolled ReadableStream) as part of Phase 4 — same route, same monolith, no deployment change needed.</w:t>
      </w:r>
    </w:p>
    <w:p>
      <w:pPr>
        <w:pStyle w:val="ListBullet"/>
      </w:pPr>
      <w:r>
        <w:t>Live operational data — appointments, staff status, inventory, and notifications should update across open sessions without polling once Phase 1's tables exist. Use Supabase Realtime (Postgres change subscriptions): it is already provisioned, requires no custom WebSocket server, and keeps the monolith intact. Add this to Phase 3 (frontend rework) as the mechanism driving live UI updates.</w:t>
      </w:r>
    </w:p>
    <w:p>
      <w:pPr>
        <w:pStyle w:val="ListBullet"/>
      </w:pPr>
      <w:r>
        <w:t>Heavy/slow AI work off the request path — bulk document ingestion and image generation (generateOrEditImageTool in lib/assistant/tools.ts) should move to background jobs (Inngest or Trigger.dev) instead of running inline in a route handler, so they can't block or time out a request. This is additive to Phase 4, not a new service.</w:t>
      </w:r>
    </w:p>
    <w:p>
      <w:pPr/>
      <w:r>
        <w:t>None of the three require splitting the codebase or standing up a separate backend — they are deployment and pattern choices inside the same modular monolith already proposed. The one caveat: if the hosting target is pure serverless (e.g. default Vercel functions), confirm it supports streaming responses and sufficiently long execution for AI calls; if not, a long-running Node deployment (Docker, Fly.io, Railway) keeps everything — including hand-rolled WebSockets, if ever needed instead of Supabase Realtime — inside the one process.</w:t>
      </w:r>
    </w:p>
    <w:p>
      <w:pPr>
        <w:pStyle w:val="Heading2"/>
      </w:pPr>
      <w:r>
        <w:t>11.3 REST exposure for future external clients (optional, not immediate scope)</w:t>
      </w:r>
    </w:p>
    <w:p>
      <w:pPr/>
      <w:r>
        <w:t>The server/&lt;domain&gt;/actions.ts pattern in Section 4 already gives each domain one sanctioned entry point. To make the backend callable by something other than this Next.js frontend later (a mobile app, a partner integration) without restructuring:</w:t>
      </w:r>
    </w:p>
    <w:p>
      <w:pPr>
        <w:pStyle w:val="ListBullet"/>
      </w:pPr>
      <w:r>
        <w:t>Add a thin app/api/v1/&lt;domain&gt;/route.ts per domain that calls the same service.ts the Server Action calls — no logic duplicated, just a second entry point.</w:t>
      </w:r>
    </w:p>
    <w:p>
      <w:pPr>
        <w:pStyle w:val="ListBullet"/>
      </w:pPr>
      <w:r>
        <w:t>Generate an OpenAPI spec from the per-domain zod schema.ts files already planned in Section 4 (zod-to-openapi), so the contract is documented without hand-written docs.</w:t>
      </w:r>
    </w:p>
    <w:p>
      <w:pPr>
        <w:pStyle w:val="ListBullet"/>
      </w:pPr>
      <w:r>
        <w:t>Use Bearer-token auth for these routes; keep the existing cookie session for the Server Action / web UI path.</w:t>
      </w:r>
    </w:p>
    <w:p>
      <w:pPr/>
      <w:r>
        <w:t>This is optional scope — build it only once an external client actually exists — but worth listing in Section 7's stack table as a future row rather than a later surprise.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D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D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