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spacing w:after="120"/>
        <w:jc w:val="center"/>
      </w:pPr>
      <w:r>
        <w:rPr>
          <w:rFonts w:ascii="Aptos Display" w:hAnsi="Aptos Display"/>
          <w:b/>
          <w:color w:val="FFFFFF"/>
          <w:sz w:val="48"/>
          <w:shd w:fill="4F46E5"/>
        </w:rPr>
        <w:t>RF</w:t>
      </w:r>
    </w:p>
    <w:p>
      <w:pPr>
        <w:spacing w:after="140"/>
        <w:jc w:val="center"/>
      </w:pPr>
      <w:r>
        <w:rPr>
          <w:rFonts w:ascii="Aptos Display" w:hAnsi="Aptos Display"/>
          <w:b/>
          <w:color w:val="17223B"/>
          <w:sz w:val="62"/>
        </w:rPr>
        <w:t>RESEARCHFLOW HUB</w:t>
      </w:r>
    </w:p>
    <w:p>
      <w:pPr>
        <w:spacing w:after="700"/>
        <w:jc w:val="center"/>
      </w:pPr>
      <w:r>
        <w:rPr>
          <w:rFonts w:ascii="Aptos" w:hAnsi="Aptos"/>
          <w:color w:val="4F46E5"/>
          <w:sz w:val="28"/>
        </w:rPr>
        <w:t>Integrated Research Management Workspace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UNIVERSITY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provided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DEPARTMENT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provided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COURSE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Web and Internet Programming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STUDENT NAME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provided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STUDENT ID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provided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GITHUB REPOSITORY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https://github.com/nexliorakibul/researchflow-hub</w:t>
            </w:r>
          </w:p>
        </w:tc>
      </w:tr>
      <w:tr>
        <w:tc>
          <w:tcPr>
            <w:tcW w:type="dxa" w:w="5285"/>
            <w:shd w:fill="EEF2FF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4F46E5"/>
                <w:sz w:val="16"/>
              </w:rPr>
              <w:t>LIVE WEBSITE URL</w:t>
            </w:r>
          </w:p>
        </w:tc>
        <w:tc>
          <w:tcPr>
            <w:tcW w:type="dxa" w:w="52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7223B"/>
                <w:sz w:val="18"/>
              </w:rPr>
              <w:t>Not deployed</w:t>
            </w:r>
          </w:p>
        </w:tc>
      </w:tr>
    </w:tbl>
    <w:p>
      <w:pPr>
        <w:spacing w:after="300"/>
      </w:pPr>
    </w:p>
    <w:p>
      <w:pPr>
        <w:jc w:val="center"/>
      </w:pPr>
      <w:r>
        <w:rPr>
          <w:rFonts w:ascii="Aptos" w:hAnsi="Aptos"/>
          <w:b/>
          <w:color w:val="667085"/>
          <w:sz w:val="17"/>
        </w:rPr>
        <w:t>VERSION 1  •  25 SEPTEMBER 2026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02  </w:t>
      </w:r>
      <w:r>
        <w:rPr>
          <w:rFonts w:ascii="Aptos Display" w:hAnsi="Aptos Display"/>
          <w:b/>
          <w:color w:val="17223B"/>
          <w:sz w:val="26"/>
        </w:rPr>
        <w:t>INTRODUCTION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The problem, motivation, and purpose of the system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The research-management problem</w:t>
      </w:r>
    </w:p>
    <w:p>
      <w:pPr>
        <w:spacing w:after="140" w:line="259" w:lineRule="auto"/>
      </w:pPr>
      <w:r>
        <w:rPr>
          <w:rFonts w:ascii="Aptos" w:hAnsi="Aptos"/>
          <w:color w:val="344054"/>
          <w:sz w:val="20"/>
        </w:rPr>
        <w:t>Research work is often fragmented across browser bookmarks, reference files, spreadsheets, notebooks, and experiment logs. This makes it difficult for a student researcher to connect a project with its supporting papers, datasets, literature findings, research gaps, tasks, notes, and model results.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Motivation</w:t>
      </w:r>
    </w:p>
    <w:p>
      <w:pPr>
        <w:spacing w:after="140" w:line="259" w:lineRule="auto"/>
      </w:pPr>
      <w:r>
        <w:rPr>
          <w:rFonts w:ascii="Aptos" w:hAnsi="Aptos"/>
          <w:color w:val="344054"/>
          <w:sz w:val="20"/>
        </w:rPr>
        <w:t>ResearchFlow Hub was created as a focused, beginner-friendly web application for a university Web and Internet Programming course. It demonstrates a complete database-backed workflow without adding collaboration, payment, scraping, AI chatbot, or large-file storage complexity.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Purpose</w:t>
      </w:r>
    </w:p>
    <w:p>
      <w:pPr>
        <w:spacing w:after="160" w:line="259" w:lineRule="auto"/>
      </w:pPr>
      <w:r>
        <w:rPr>
          <w:rFonts w:ascii="Aptos" w:hAnsi="Aptos"/>
          <w:color w:val="344054"/>
          <w:sz w:val="20"/>
        </w:rPr>
        <w:t>The application gives one Researcher / User a secure workspace in which all stored records are private to that account. The user can move from a research question to evidence review, gap identification, experiment tracking, task completion, note taking, and citation output in one consistent interface.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42"/>
        <w:gridCol w:w="2642"/>
        <w:gridCol w:w="2642"/>
        <w:gridCol w:w="2642"/>
      </w:tblGrid>
      <w:tr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1</w:t>
              <w:br/>
            </w:r>
            <w:r>
              <w:rPr>
                <w:rFonts w:ascii="Aptos" w:hAnsi="Aptos"/>
                <w:color w:val="667085"/>
                <w:sz w:val="16"/>
              </w:rPr>
              <w:t>USER ROLE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9</w:t>
              <w:br/>
            </w:r>
            <w:r>
              <w:rPr>
                <w:rFonts w:ascii="Aptos" w:hAnsi="Aptos"/>
                <w:color w:val="667085"/>
                <w:sz w:val="16"/>
              </w:rPr>
              <w:t>CRUD MODULES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3</w:t>
              <w:br/>
            </w:r>
            <w:r>
              <w:rPr>
                <w:rFonts w:ascii="Aptos" w:hAnsi="Aptos"/>
                <w:color w:val="667085"/>
                <w:sz w:val="16"/>
              </w:rPr>
              <w:t>CITATION STYLES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267</w:t>
              <w:br/>
            </w:r>
            <w:r>
              <w:rPr>
                <w:rFonts w:ascii="Aptos" w:hAnsi="Aptos"/>
                <w:color w:val="667085"/>
                <w:sz w:val="16"/>
              </w:rPr>
              <w:t>E2E CHECKS</w:t>
            </w:r>
          </w:p>
        </w:tc>
      </w:tr>
    </w:tbl>
    <w:p>
      <w:pPr>
        <w:spacing w:after="0"/>
      </w:pP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Design principles</w:t>
      </w:r>
    </w:p>
    <w:p>
      <w:pPr>
        <w:pStyle w:val="ListBullet"/>
        <w:spacing w:after="40" w:line="245" w:lineRule="auto"/>
        <w:ind w:left="259" w:hanging="216"/>
      </w:pPr>
      <w:r>
        <w:rPr>
          <w:rFonts w:ascii="Aptos" w:hAnsi="Aptos"/>
          <w:color w:val="344054"/>
          <w:sz w:val="18"/>
        </w:rPr>
        <w:t>Simple enough to build, explain, and demonstrate during a viva.</w:t>
      </w:r>
    </w:p>
    <w:p>
      <w:pPr>
        <w:pStyle w:val="ListBullet"/>
        <w:spacing w:after="40" w:line="245" w:lineRule="auto"/>
        <w:ind w:left="259" w:hanging="216"/>
      </w:pPr>
      <w:r>
        <w:rPr>
          <w:rFonts w:ascii="Aptos" w:hAnsi="Aptos"/>
          <w:color w:val="344054"/>
          <w:sz w:val="18"/>
        </w:rPr>
        <w:t>Database driven: dashboards, lists, comparisons, and statistics use stored records.</w:t>
      </w:r>
    </w:p>
    <w:p>
      <w:pPr>
        <w:pStyle w:val="ListBullet"/>
        <w:spacing w:after="40" w:line="245" w:lineRule="auto"/>
        <w:ind w:left="259" w:hanging="216"/>
      </w:pPr>
      <w:r>
        <w:rPr>
          <w:rFonts w:ascii="Aptos" w:hAnsi="Aptos"/>
          <w:color w:val="344054"/>
          <w:sz w:val="18"/>
        </w:rPr>
        <w:t>Secure by default: authentication, ownership checks, prepared statements, CSRF tokens, and output escaping.</w:t>
      </w:r>
    </w:p>
    <w:p>
      <w:pPr>
        <w:pStyle w:val="ListBullet"/>
        <w:spacing w:after="40" w:line="245" w:lineRule="auto"/>
        <w:ind w:left="259" w:hanging="216"/>
      </w:pPr>
      <w:r>
        <w:rPr>
          <w:rFonts w:ascii="Aptos" w:hAnsi="Aptos"/>
          <w:color w:val="344054"/>
          <w:sz w:val="18"/>
        </w:rPr>
        <w:t>Responsive on desktop, tablet, and mobile with clear empty, success, and error states.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03  </w:t>
      </w:r>
      <w:r>
        <w:rPr>
          <w:rFonts w:ascii="Aptos Display" w:hAnsi="Aptos Display"/>
          <w:b/>
          <w:color w:val="17223B"/>
          <w:sz w:val="26"/>
        </w:rPr>
        <w:t>OBJECTIVES AND SCOPE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Version 1 delivers a complete single-user research workflow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Project objectives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Provide secure registration, login, logout, protected sessions, profile editing, and password change.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Organize projects and their related resources, papers, datasets, reviews, gaps, experiments, tasks, and notes.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Support decision making through a literature matrix, gap statistics, experiment comparison, and dashboard summaries.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Improve retrieval through global search, filters, sorting, and pagination.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8"/>
        </w:rPr>
        <w:t>Generate citation text in IEEE, APA, and Harvard formats.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Version 1 module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3384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FOUNDATION &amp; DISCOVERY</w:t>
            </w:r>
          </w:p>
        </w:tc>
        <w:tc>
          <w:tcPr>
            <w:tcW w:type="dxa" w:w="3384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RESEARCH RECORDS</w:t>
            </w:r>
          </w:p>
        </w:tc>
        <w:tc>
          <w:tcPr>
            <w:tcW w:type="dxa" w:w="3384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ANALYSIS &amp; OUTPUT</w:t>
            </w:r>
          </w:p>
        </w:tc>
      </w:tr>
      <w:tr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Authentication</w:t>
              <w:br/>
              <w:t>Dashboard</w:t>
              <w:br/>
              <w:t>Profile &amp; password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Projects</w:t>
              <w:br/>
              <w:t>Resources</w:t>
              <w:br/>
              <w:t>Research papers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Literature review matrix</w:t>
              <w:br/>
              <w:t>Research gap statistics</w:t>
            </w:r>
          </w:p>
        </w:tc>
      </w:tr>
      <w:tr>
        <w:tc>
          <w:tcPr>
            <w:tcW w:type="dxa" w:w="338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Global search</w:t>
              <w:br/>
              <w:t>Filters &amp; sorting</w:t>
              <w:br/>
              <w:t>Pagination</w:t>
            </w:r>
          </w:p>
        </w:tc>
        <w:tc>
          <w:tcPr>
            <w:tcW w:type="dxa" w:w="338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Datasets</w:t>
              <w:br/>
              <w:t>Literature reviews</w:t>
              <w:br/>
              <w:t>Research gaps</w:t>
            </w:r>
          </w:p>
        </w:tc>
        <w:tc>
          <w:tcPr>
            <w:tcW w:type="dxa" w:w="338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Experiment comparison</w:t>
              <w:br/>
              <w:t>Citation generator</w:t>
            </w:r>
          </w:p>
        </w:tc>
      </w:tr>
      <w:tr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Responsive layout</w:t>
              <w:br/>
              <w:t>Security controls</w:t>
              <w:br/>
              <w:t>Error handling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Experiments</w:t>
              <w:br/>
              <w:t>Research tasks</w:t>
              <w:br/>
              <w:t>Research notes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8"/>
              </w:rPr>
              <w:t>IEEE · APA · Harvard</w:t>
              <w:br/>
              <w:t>Flash and empty states</w:t>
            </w:r>
          </w:p>
        </w:tc>
      </w:tr>
    </w:tbl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Boundaries</w:t>
      </w:r>
    </w:p>
    <w:p>
      <w:pPr>
        <w:spacing w:after="100" w:line="259" w:lineRule="auto"/>
      </w:pPr>
      <w:r>
        <w:rPr>
          <w:rFonts w:ascii="Aptos" w:hAnsi="Aptos"/>
          <w:color w:val="344054"/>
          <w:sz w:val="19"/>
        </w:rPr>
        <w:t>Version 1 intentionally excludes chat, multi-user collaboration, subscriptions or payments, a complex admin panel, AI chatbot features, web scraping, and large dataset/file storage. Dataset records store metadata rather than large uploaded datasets.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High-level success criteria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A user can complete the full authenticated CRUD workflow using only owned records.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Search, matrices, statistics, comparison, and citation output work from saved data.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The interface remains usable at desktop, tablet, and mobile widths.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Friendly 403, 404, and 500 handling is present and normal flows complete without unresolved defects.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04  </w:t>
      </w:r>
      <w:r>
        <w:rPr>
          <w:rFonts w:ascii="Aptos Display" w:hAnsi="Aptos Display"/>
          <w:b/>
          <w:color w:val="17223B"/>
          <w:sz w:val="26"/>
        </w:rPr>
        <w:t>SYSTEM ARCHITECTURE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A conventional three-tier design keeps the project easy to understand and maintain</w:t>
      </w:r>
    </w:p>
    <w:p>
      <w:r>
        <w:drawing>
          <wp:inline xmlns:a="http://schemas.openxmlformats.org/drawingml/2006/main" xmlns:pic="http://schemas.openxmlformats.org/drawingml/2006/picture">
            <wp:extent cx="6629400" cy="3766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6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jc w:val="center"/>
      </w:pPr>
      <w:r>
        <w:rPr>
          <w:rFonts w:ascii="Aptos" w:hAnsi="Aptos"/>
          <w:i/>
          <w:color w:val="667085"/>
          <w:sz w:val="16"/>
        </w:rPr>
        <w:t>Figure 1. Presentation, application, and data layers with cross-cutting security controls.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Request flow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208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7992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1. Browser request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Responsive forms and navigation send GET requests for views and POST requests for state changes.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2. PHP bootstrap</w:t>
            </w:r>
          </w:p>
        </w:tc>
        <w:tc>
          <w:tcPr>
            <w:tcW w:type="dxa" w:w="799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Shared configuration, secure session settings, database connection, error handling, authentication, and helpers load.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3. Module logic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Server-side validation, ownership checks, CRUD operations, filters, search, statistics, or comparison are applied.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4. PDO / MySQL</w:t>
            </w:r>
          </w:p>
        </w:tc>
        <w:tc>
          <w:tcPr>
            <w:tcW w:type="dxa" w:w="799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Prepared statements read or update relational records; no user input is concatenated into SQL.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5. Response</w:t>
            </w:r>
          </w:p>
        </w:tc>
        <w:tc>
          <w:tcPr>
            <w:tcW w:type="dxa" w:w="79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7"/>
              </w:rPr>
              <w:t>Escaped output, flash feedback, empty states, confirmation dialogs, and friendly error pages are returned.</w:t>
            </w:r>
          </w:p>
        </w:tc>
      </w:tr>
    </w:tbl>
    <w:p>
      <w:pPr>
        <w:spacing w:after="0" w:line="259" w:lineRule="auto"/>
      </w:pPr>
      <w:r>
        <w:rPr>
          <w:rFonts w:ascii="Aptos" w:hAnsi="Aptos"/>
          <w:color w:val="344054"/>
          <w:sz w:val="17"/>
        </w:rPr>
        <w:t>The design uses PHP 8+, MySQL 8+, PDO, HTML5, CSS3, Bootstrap 5, JavaScript, and Chart.js. It requires no framework build process and stays appropriate for a course demonstration.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05  </w:t>
      </w:r>
      <w:r>
        <w:rPr>
          <w:rFonts w:ascii="Aptos Display" w:hAnsi="Aptos Display"/>
          <w:b/>
          <w:color w:val="17223B"/>
          <w:sz w:val="26"/>
        </w:rPr>
        <w:t>DATABASE DESIGN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Relational ownership connects each research record to the authenticated user</w:t>
      </w:r>
    </w:p>
    <w:p>
      <w:r>
        <w:drawing>
          <wp:inline xmlns:a="http://schemas.openxmlformats.org/drawingml/2006/main" xmlns:pic="http://schemas.openxmlformats.org/drawingml/2006/picture">
            <wp:extent cx="6656832" cy="4160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atabase-er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56832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jc w:val="center"/>
      </w:pPr>
      <w:r>
        <w:rPr>
          <w:rFonts w:ascii="Aptos" w:hAnsi="Aptos"/>
          <w:i/>
          <w:color w:val="667085"/>
          <w:sz w:val="16"/>
        </w:rPr>
        <w:t>Figure 2. Major tables and primary foreign-key relationships.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Relationship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1800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PARENT</w:t>
            </w:r>
          </w:p>
        </w:tc>
        <w:tc>
          <w:tcPr>
            <w:tcW w:type="dxa" w:w="388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CHILD RECORDS</w:t>
            </w:r>
          </w:p>
        </w:tc>
        <w:tc>
          <w:tcPr>
            <w:tcW w:type="dxa" w:w="4392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RULE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users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projects and every module record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 user owns many records; account ownership is checked server-side.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projects</w:t>
            </w:r>
          </w:p>
        </w:tc>
        <w:tc>
          <w:tcPr>
            <w:tcW w:type="dxa" w:w="38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resources, papers, datasets, reviews, gaps, experiments, tasks, notes</w:t>
            </w:r>
          </w:p>
        </w:tc>
        <w:tc>
          <w:tcPr>
            <w:tcW w:type="dxa" w:w="439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One project organizes many research records.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papers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literature_reviews, research_gaps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Reviews require a paper; a gap may optionally cite one.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datasets</w:t>
            </w:r>
          </w:p>
        </w:tc>
        <w:tc>
          <w:tcPr>
            <w:tcW w:type="dxa" w:w="38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experiments</w:t>
            </w:r>
          </w:p>
        </w:tc>
        <w:tc>
          <w:tcPr>
            <w:tcW w:type="dxa" w:w="439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An experiment may optionally reference a saved dataset.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06  </w:t>
      </w:r>
      <w:r>
        <w:rPr>
          <w:rFonts w:ascii="Aptos Display" w:hAnsi="Aptos Display"/>
          <w:b/>
          <w:color w:val="17223B"/>
          <w:sz w:val="26"/>
        </w:rPr>
        <w:t>CORE FEATURES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Selected screenshots show the most important Version 1 workflows</w:t>
      </w:r>
    </w:p>
    <w:p>
      <w:r>
        <w:drawing>
          <wp:inline xmlns:a="http://schemas.openxmlformats.org/drawingml/2006/main" xmlns:pic="http://schemas.openxmlformats.org/drawingml/2006/picture">
            <wp:extent cx="6629400" cy="40052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featu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005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jc w:val="center"/>
      </w:pPr>
      <w:r>
        <w:rPr>
          <w:rFonts w:ascii="Aptos" w:hAnsi="Aptos"/>
          <w:i/>
          <w:color w:val="667085"/>
          <w:sz w:val="16"/>
        </w:rPr>
        <w:t>Figure 3. Login, dashboard, project workspace, and global search.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2376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7704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DEMONSTRATED BEHAVIOUR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Authentication</w:t>
            </w:r>
          </w:p>
        </w:tc>
        <w:tc>
          <w:tcPr>
            <w:tcW w:type="dxa" w:w="7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Secure access to an account-specific workspace.</w:t>
            </w:r>
          </w:p>
        </w:tc>
      </w:tr>
      <w:tr>
        <w:tc>
          <w:tcPr>
            <w:tcW w:type="dxa" w:w="237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Dashboard</w:t>
            </w:r>
          </w:p>
        </w:tc>
        <w:tc>
          <w:tcPr>
            <w:tcW w:type="dxa" w:w="770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Live totals, task progress, and recent records from the database.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Project workspace</w:t>
            </w:r>
          </w:p>
        </w:tc>
        <w:tc>
          <w:tcPr>
            <w:tcW w:type="dxa" w:w="7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 project connects resources, papers, datasets, reviews, gaps, experiments, and tasks.</w:t>
            </w:r>
          </w:p>
        </w:tc>
      </w:tr>
      <w:tr>
        <w:tc>
          <w:tcPr>
            <w:tcW w:type="dxa" w:w="237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CRUD lists</w:t>
            </w:r>
          </w:p>
        </w:tc>
        <w:tc>
          <w:tcPr>
            <w:tcW w:type="dxa" w:w="7704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Create, read, update, and delete with filters, sorting, pagination, feedback, and confirmations.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Global search</w:t>
            </w:r>
          </w:p>
        </w:tc>
        <w:tc>
          <w:tcPr>
            <w:tcW w:type="dxa" w:w="77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One query searches projects, resources, papers/authors, datasets, gaps, experiments, tags, and keywords.</w:t>
            </w:r>
          </w:p>
        </w:tc>
      </w:tr>
    </w:tbl>
    <w:p>
      <w:pPr>
        <w:spacing w:after="0" w:line="259" w:lineRule="auto"/>
      </w:pPr>
      <w:r>
        <w:rPr>
          <w:rFonts w:ascii="Aptos" w:hAnsi="Aptos"/>
          <w:color w:val="344054"/>
          <w:sz w:val="17"/>
        </w:rPr>
        <w:t>The complete screenshot set is stored in the project’s screenshots directory, including registration, forms, lists, dataset manager, mobile view, and the ER diagram.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07  </w:t>
      </w:r>
      <w:r>
        <w:rPr>
          <w:rFonts w:ascii="Aptos Display" w:hAnsi="Aptos Display"/>
          <w:b/>
          <w:color w:val="17223B"/>
          <w:sz w:val="26"/>
        </w:rPr>
        <w:t>ADVANCED FEATURES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Structured evidence can be compared without unnecessary system complexity</w:t>
      </w:r>
    </w:p>
    <w:p>
      <w:r>
        <w:drawing>
          <wp:inline xmlns:a="http://schemas.openxmlformats.org/drawingml/2006/main" xmlns:pic="http://schemas.openxmlformats.org/drawingml/2006/picture">
            <wp:extent cx="6629400" cy="40052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vanced-fea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005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60"/>
        <w:jc w:val="center"/>
      </w:pPr>
      <w:r>
        <w:rPr>
          <w:rFonts w:ascii="Aptos" w:hAnsi="Aptos"/>
          <w:i/>
          <w:color w:val="667085"/>
          <w:sz w:val="16"/>
        </w:rPr>
        <w:t>Figure 4. Literature comparison, research-gap evidence, experiment tracking, and metric comparison.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2952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712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VALUE TO THE RESEARCHER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Literature Review Matrix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Places paper, dataset, method, model, results, and limitations side by side.</w:t>
            </w:r>
          </w:p>
        </w:tc>
      </w:tr>
      <w:tr>
        <w:tc>
          <w:tcPr>
            <w:tcW w:type="dxa" w:w="29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Research Gaps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Links a gap to evidence, type, priority, status, and a potential solution.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Gap Dashboard / Statistics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Summarizes gaps by status, priority, type, project, and progress.</w:t>
            </w:r>
          </w:p>
        </w:tc>
      </w:tr>
      <w:tr>
        <w:tc>
          <w:tcPr>
            <w:tcW w:type="dxa" w:w="29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Experiment Tracker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Stores model configuration, dataset, training settings, and evaluation metrics.</w:t>
            </w:r>
          </w:p>
        </w:tc>
      </w:tr>
      <w:tr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Experiment Comparison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Compares at least two saved experiments through a metrics table and charts.</w:t>
            </w:r>
          </w:p>
        </w:tc>
      </w:tr>
      <w:tr>
        <w:tc>
          <w:tcPr>
            <w:tcW w:type="dxa" w:w="29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Citation Generator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Formats stored paper metadata in IEEE, APA, or Harvard style.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08  </w:t>
      </w:r>
      <w:r>
        <w:rPr>
          <w:rFonts w:ascii="Aptos Display" w:hAnsi="Aptos Display"/>
          <w:b/>
          <w:color w:val="17223B"/>
          <w:sz w:val="26"/>
        </w:rPr>
        <w:t>VALIDATION AND SECURITY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Controls are applied at shared helpers and every state-changing endpoint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Implemented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1800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5400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IMPLEMENTATION</w:t>
            </w:r>
          </w:p>
        </w:tc>
        <w:tc>
          <w:tcPr>
            <w:tcW w:type="dxa" w:w="3096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Passwords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password_hash() and password_verify(); session ID rotates after login and password change.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Live authentication and hash checks passed.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SQL injection</w:t>
            </w:r>
          </w:p>
        </w:tc>
        <w:tc>
          <w:tcPr>
            <w:tcW w:type="dxa" w:w="54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PDO prepared statements; dynamic sort fields and helper table names use allowlists.</w:t>
            </w:r>
          </w:p>
        </w:tc>
        <w:tc>
          <w:tcPr>
            <w:tcW w:type="dxa" w:w="30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Static scan and live malformed-input tests passed.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CSRF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Session token on every create, update, delete, profile, password, and logout form.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All 30 state-changing handlers verified.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XSS</w:t>
            </w:r>
          </w:p>
        </w:tc>
        <w:tc>
          <w:tcPr>
            <w:tcW w:type="dxa" w:w="54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Shared output-escaping helper for dynamic HTML.</w:t>
            </w:r>
          </w:p>
        </w:tc>
        <w:tc>
          <w:tcPr>
            <w:tcW w:type="dxa" w:w="30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Stored script payload rendered as text.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Authentication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Protected pages require a valid signed-in session.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Guest redirects and post-logout protection passed.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Ownership</w:t>
            </w:r>
          </w:p>
        </w:tc>
        <w:tc>
          <w:tcPr>
            <w:tcW w:type="dxa" w:w="54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Queries are scoped by record ID and authenticated user ID; relations are ownership checked.</w:t>
            </w:r>
          </w:p>
        </w:tc>
        <w:tc>
          <w:tcPr>
            <w:tcW w:type="dxa" w:w="30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Cross-user read/update/delete attempts denied.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Validation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Required fields, lengths, types, enums, dates, numbers, URLs, and relations checked on server.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Invalid and array-shaped inputs rejected safely.</w:t>
            </w:r>
          </w:p>
        </w:tc>
      </w:tr>
      <w:tr>
        <w:tc>
          <w:tcPr>
            <w:tcW w:type="dxa" w:w="18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Destructive actions</w:t>
            </w:r>
          </w:p>
        </w:tc>
        <w:tc>
          <w:tcPr>
            <w:tcW w:type="dxa" w:w="540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Delete and logout handlers accept POST only and require valid CSRF tokens.</w:t>
            </w:r>
          </w:p>
        </w:tc>
        <w:tc>
          <w:tcPr>
            <w:tcW w:type="dxa" w:w="30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All nine delete endpoints rejected GET.</w:t>
            </w:r>
          </w:p>
        </w:tc>
      </w:tr>
    </w:tbl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Error and feedback behaviour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403 for forbidden access, 404 for missing or unowned records, and a safe 500 page for unexpected failures.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One-time flash messages confirm successful or failed actions without exposing sensitive implementation details.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Empty states guide first-time users; browser confirmation dialogs protect destructive actions.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Real credentials remain outside tracked files; `.env` and local database configuration are ignored.</w:t>
      </w:r>
    </w:p>
    <w:p>
      <w:pPr>
        <w:spacing w:after="0" w:line="259" w:lineRule="auto"/>
      </w:pPr>
      <w:r>
        <w:rPr>
          <w:rFonts w:ascii="Aptos" w:hAnsi="Aptos"/>
          <w:color w:val="344054"/>
          <w:sz w:val="16"/>
        </w:rPr>
        <w:t>Security design follows the PHP PDO guidance and OWASP recommendations for CSRF tokens and context-aware output encoding (PHP Documentation Group, n.d.; OWASP Foundation, n.d.).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09  </w:t>
      </w:r>
      <w:r>
        <w:rPr>
          <w:rFonts w:ascii="Aptos Display" w:hAnsi="Aptos Display"/>
          <w:b/>
          <w:color w:val="17223B"/>
          <w:sz w:val="26"/>
        </w:rPr>
        <w:t>TESTING AND TIMELINE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The completed Version 1 workflow was verified in an isolated local environment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42"/>
        <w:gridCol w:w="2642"/>
        <w:gridCol w:w="2642"/>
        <w:gridCol w:w="2642"/>
      </w:tblGrid>
      <w:tr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267 / 267</w:t>
              <w:br/>
            </w:r>
            <w:r>
              <w:rPr>
                <w:rFonts w:ascii="Aptos" w:hAnsi="Aptos"/>
                <w:color w:val="667085"/>
                <w:sz w:val="16"/>
              </w:rPr>
              <w:t>E2E CHECKS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78</w:t>
              <w:br/>
            </w:r>
            <w:r>
              <w:rPr>
                <w:rFonts w:ascii="Aptos" w:hAnsi="Aptos"/>
                <w:color w:val="667085"/>
                <w:sz w:val="16"/>
              </w:rPr>
              <w:t>PHP FILES LINTED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45</w:t>
              <w:br/>
            </w:r>
            <w:r>
              <w:rPr>
                <w:rFonts w:ascii="Aptos" w:hAnsi="Aptos"/>
                <w:color w:val="667085"/>
                <w:sz w:val="16"/>
              </w:rPr>
              <w:t>SECURITY CHECKS</w:t>
            </w:r>
          </w:p>
        </w:tc>
        <w:tc>
          <w:tcPr>
            <w:tcW w:type="dxa" w:w="2642"/>
            <w:shd w:fill="EEF2FF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 Display" w:hAnsi="Aptos Display"/>
                <w:b/>
                <w:color w:val="4F46E5"/>
                <w:sz w:val="38"/>
              </w:rPr>
              <w:t>0</w:t>
              <w:br/>
            </w:r>
            <w:r>
              <w:rPr>
                <w:rFonts w:ascii="Aptos" w:hAnsi="Aptos"/>
                <w:color w:val="667085"/>
                <w:sz w:val="16"/>
              </w:rPr>
              <w:t>UNRESOLVED DEFECTS</w:t>
            </w:r>
          </w:p>
        </w:tc>
      </w:tr>
    </w:tbl>
    <w:p>
      <w:pPr>
        <w:spacing w:after="0"/>
      </w:pP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Testing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1656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712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EXAMPLES</w:t>
            </w:r>
          </w:p>
        </w:tc>
        <w:tc>
          <w:tcPr>
            <w:tcW w:type="dxa" w:w="1296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Access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Registration, login, sessions, profile, password, logout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CRUD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Nine modules; create, read, update, delete, validation, cleanup</w:t>
            </w:r>
          </w:p>
        </w:tc>
        <w:tc>
          <w:tcPr>
            <w:tcW w:type="dxa" w:w="12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Analysis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Matrix, gap statistics, experiment comparison, citations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Discovery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Global search, filters, sorting, multi-page pagination</w:t>
            </w:r>
          </w:p>
        </w:tc>
        <w:tc>
          <w:tcPr>
            <w:tcW w:type="dxa" w:w="12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Quality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Responsive views, assets, empty states, flash and error pages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  <w:tr>
        <w:tc>
          <w:tcPr>
            <w:tcW w:type="dxa" w:w="165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Security</w:t>
            </w:r>
          </w:p>
        </w:tc>
        <w:tc>
          <w:tcPr>
            <w:tcW w:type="dxa" w:w="712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CSRF, XSS, SQL injection, ownership, POST-only deletion</w:t>
            </w:r>
          </w:p>
        </w:tc>
        <w:tc>
          <w:tcPr>
            <w:tcW w:type="dxa" w:w="1296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6"/>
              </w:rPr>
              <w:t>PASS</w:t>
            </w:r>
          </w:p>
        </w:tc>
      </w:tr>
    </w:tbl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Development timeline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2088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PHASE</w:t>
            </w:r>
          </w:p>
        </w:tc>
        <w:tc>
          <w:tcPr>
            <w:tcW w:type="dxa" w:w="6552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DELIVERABLES</w:t>
            </w:r>
          </w:p>
        </w:tc>
        <w:tc>
          <w:tcPr>
            <w:tcW w:type="dxa" w:w="1440"/>
            <w:shd w:fill="17223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1. Scope &amp; setup</w:t>
            </w:r>
          </w:p>
        </w:tc>
        <w:tc>
          <w:tcPr>
            <w:tcW w:type="dxa" w:w="65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Requirements, repository, environment, database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2. Foundation</w:t>
            </w:r>
          </w:p>
        </w:tc>
        <w:tc>
          <w:tcPr>
            <w:tcW w:type="dxa" w:w="65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PDO, shared bootstrap, authentication, layout</w:t>
            </w:r>
          </w:p>
        </w:tc>
        <w:tc>
          <w:tcPr>
            <w:tcW w:type="dxa" w:w="144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3. Core modules</w:t>
            </w:r>
          </w:p>
        </w:tc>
        <w:tc>
          <w:tcPr>
            <w:tcW w:type="dxa" w:w="65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Projects, resources, papers, datasets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4. Research analysis</w:t>
            </w:r>
          </w:p>
        </w:tc>
        <w:tc>
          <w:tcPr>
            <w:tcW w:type="dxa" w:w="65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Reviews, matrix, gaps, experiments, comparisons</w:t>
            </w:r>
          </w:p>
        </w:tc>
        <w:tc>
          <w:tcPr>
            <w:tcW w:type="dxa" w:w="144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5. Productivity</w:t>
            </w:r>
          </w:p>
        </w:tc>
        <w:tc>
          <w:tcPr>
            <w:tcW w:type="dxa" w:w="65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Tasks, notes, citations, global search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6. Quality</w:t>
            </w:r>
          </w:p>
        </w:tc>
        <w:tc>
          <w:tcPr>
            <w:tcW w:type="dxa" w:w="6552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Profile, responsive UI, security, errors, end-to-end QA</w:t>
            </w:r>
          </w:p>
        </w:tc>
        <w:tc>
          <w:tcPr>
            <w:tcW w:type="dxa" w:w="1440"/>
            <w:shd w:fill="F6F7FB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Complete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7. Delivery</w:t>
            </w:r>
          </w:p>
        </w:tc>
        <w:tc>
          <w:tcPr>
            <w:tcW w:type="dxa" w:w="65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Report and screenshot evidence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7223B"/>
                <w:sz w:val="15"/>
              </w:rPr>
              <w:t>This report</w:t>
            </w:r>
          </w:p>
        </w:tc>
      </w:tr>
    </w:tbl>
    <w:p>
      <w:pPr>
        <w:spacing w:after="0" w:line="259" w:lineRule="auto"/>
      </w:pPr>
      <w:r>
        <w:rPr>
          <w:rFonts w:ascii="Aptos" w:hAnsi="Aptos"/>
          <w:color w:val="344054"/>
          <w:sz w:val="16"/>
        </w:rPr>
        <w:t>The test run used PHP 8.0.28 and a temporary MariaDB instance compatible with the MySQL 8+ target. No real user data or saved local database configuration was modified.</w:t>
      </w:r>
    </w:p>
    <w:p>
      <w:r>
        <w:br w:type="page"/>
      </w:r>
    </w:p>
    <w:p>
      <w:pPr>
        <w:spacing w:after="60"/>
      </w:pPr>
      <w:r>
        <w:rPr>
          <w:rFonts w:ascii="Aptos Display" w:hAnsi="Aptos Display"/>
          <w:b/>
          <w:color w:val="4F46E5"/>
          <w:sz w:val="26"/>
        </w:rPr>
        <w:t xml:space="preserve">10  </w:t>
      </w:r>
      <w:r>
        <w:rPr>
          <w:rFonts w:ascii="Aptos Display" w:hAnsi="Aptos Display"/>
          <w:b/>
          <w:color w:val="17223B"/>
          <w:sz w:val="26"/>
        </w:rPr>
        <w:t>REFLECTION AND REFERENCES</w:t>
      </w:r>
    </w:p>
    <w:p>
      <w:pPr>
        <w:spacing w:after="160" w:line="240" w:lineRule="auto"/>
      </w:pPr>
      <w:r>
        <w:rPr>
          <w:color w:val="4F46E5"/>
          <w:sz w:val="40"/>
        </w:rPr>
        <w:t>━</w:t>
      </w:r>
    </w:p>
    <w:p>
      <w:pPr>
        <w:pStyle w:val="Subtitle"/>
        <w:spacing w:after="160"/>
      </w:pPr>
      <w:r>
        <w:t>What was learned, what remains intentionally limited, and the sources used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Challenges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Keeping nine CRUD modules consistent while preserving module-specific validation and relationships.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Enforcing ownership not only on primary records but also on selected related projects, papers, and datasets.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Presenting wide comparison tables and dashboard content clearly at smaller viewport sizes.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Testing deletion and error paths without leaving temporary data or sessions behind.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Lessons learned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Shared helpers reduce duplication and make security controls easier to audit.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A carefully normalized schema enables dashboards, matrices, statistics, and search without duplicate data entry.</w:t>
      </w:r>
    </w:p>
    <w:p>
      <w:pPr>
        <w:pStyle w:val="ListBullet"/>
        <w:spacing w:after="20" w:line="245" w:lineRule="auto"/>
        <w:ind w:left="259" w:hanging="216"/>
      </w:pPr>
      <w:r>
        <w:rPr>
          <w:rFonts w:ascii="Aptos" w:hAnsi="Aptos"/>
          <w:color w:val="344054"/>
          <w:sz w:val="17"/>
        </w:rPr>
        <w:t>Small, end-to-end checkpoints are easier to demonstrate and diagnose than one large implementation pass.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Future improvements</w:t>
      </w:r>
    </w:p>
    <w:p>
      <w:pPr>
        <w:spacing w:after="80" w:line="259" w:lineRule="auto"/>
      </w:pPr>
      <w:r>
        <w:rPr>
          <w:rFonts w:ascii="Aptos" w:hAnsi="Aptos"/>
          <w:color w:val="344054"/>
          <w:sz w:val="17"/>
        </w:rPr>
        <w:t>Future versions may add optional collaboration, richer exports, accessibility audits, automated browser regression tests, and deployment automation. These are not part of Version 1 and should be considered only after the current single-user workflow is maintained reliably.</w:t>
      </w:r>
    </w:p>
    <w:p>
      <w:pPr>
        <w:spacing w:before="100" w:after="60"/>
      </w:pPr>
      <w:r>
        <w:rPr>
          <w:rFonts w:ascii="Aptos Display" w:hAnsi="Aptos Display"/>
          <w:b/>
          <w:color w:val="17223B"/>
          <w:sz w:val="30"/>
        </w:rPr>
        <w:t>References — Harvard style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Bootstrap Team (n.d.) ‘Breakpoints’, Bootstrap 5.3 documentation. Available at: https://getbootstrap.com/docs/5.3/layout/breakpoints/ (Accessed: 25 September 2026).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Chart.js Contributors (n.d.) ‘Getting Started’, Chart.js documentation. Available at: https://www.chartjs.org/docs/latest/getting-started/ (Accessed: 25 September 2026).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OWASP Foundation (n.d.) ‘Cross-Site Request Forgery Prevention Cheat Sheet’. Available at: https://cheatsheetseries.owasp.org/cheatsheets/Cross-Site_Request_Forgery_Prevention_Cheat_Sheet.html (Accessed: 25 September 2026).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OWASP Foundation (n.d.) ‘Cross Site Scripting Prevention Cheat Sheet’. Available at: https://cheatsheetseries.owasp.org/cheatsheets/Cross_Site_Scripting_Prevention_Cheat_Sheet.html (Accessed: 25 September 2026).</w:t>
      </w:r>
    </w:p>
    <w:p>
      <w:pPr>
        <w:spacing w:after="60" w:line="240" w:lineRule="auto"/>
        <w:ind w:left="317" w:hanging="317"/>
      </w:pPr>
      <w:r>
        <w:rPr>
          <w:rFonts w:ascii="Aptos" w:hAnsi="Aptos"/>
          <w:color w:val="344054"/>
          <w:sz w:val="15"/>
        </w:rPr>
        <w:t>PHP Documentation Group (n.d.) ‘PDO::prepare’, PHP Manual. Available at: https://www.php.net/manual/en/pdo.prepare.php (Accessed: 25 September 2026).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48" w:right="835" w:bottom="648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085"/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667085"/>
        <w:sz w:val="15"/>
      </w:rPr>
      <w:t>RESEARCHFLOW HUB  /  PROJECT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34405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223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667085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ResearchFlow Hub — Project Report</dc:title>
  <dc:subject>Web and Internet Programming project report</dc:subject>
  <dc:creator>Not provided</dc:creator>
  <cp:keywords>ResearchFlow Hub, PHP, MySQL, project report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