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Estimación preliminar de derivas sísmicas en edificios aporticados de concreto reforzado mediante generación paramétrica, verificación normativa automatizada y aprendizaje automático</w:t>
      </w:r>
    </w:p>
    <w:p>
      <w:pPr>
        <w:spacing w:after="30"/>
        <w:jc w:val="center"/>
      </w:pPr>
      <w:r>
        <w:rPr>
          <w:rFonts w:ascii="Arial" w:cs="Arial" w:eastAsia="Arial" w:hAnsi="Arial"/>
          <w:sz w:val="19"/>
          <w:szCs w:val="19"/>
        </w:rPr>
        <w:t xml:space="preserve">Lucero · Alexis · Nicolás Infante Hernández · Jean Piere · Joseph</w:t>
      </w:r>
    </w:p>
    <w:p>
      <w:pPr>
        <w:spacing w:after="120"/>
        <w:jc w:val="center"/>
      </w:pPr>
      <w:r>
        <w:rPr>
          <w:rFonts w:ascii="Arial" w:cs="Arial" w:eastAsia="Arial" w:hAnsi="Arial"/>
          <w:color w:val="555555"/>
          <w:sz w:val="16"/>
          <w:szCs w:val="16"/>
        </w:rPr>
        <w:t xml:space="preserve">Equipo Nexo Sísmico · Beca AI Talent, 2.ª generación (AECODE) · Modalidad C: investigación académica aplicada · Octubre de 2026</w:t>
      </w:r>
    </w:p>
    <w:p>
      <w:pPr>
        <w:spacing w:after="70" w:line="252"/>
        <w:jc w:val="both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Resumen. </w:t>
      </w:r>
      <w:r>
        <w:rPr>
          <w:rFonts w:ascii="Arial" w:cs="Arial" w:eastAsia="Arial" w:hAnsi="Arial"/>
          <w:sz w:val="19"/>
          <w:szCs w:val="19"/>
        </w:rPr>
        <w:t xml:space="preserve">Comparar alternativas de predimensionamiento sísmico obliga a repetir la preparación de cargas, parámetros normativos y análisis estructurales. Este trabajo plantea un flujo reproducible con dos líneas de evidencia que no se mezclan: 1 500 edificios de otras tantas familias generados y analizados en OpenSees bajo la norma peruana E.030, y una ruta colombiana NSR-10 formada por un módulo automatizado de verificación y 18 edificios teóricos diseñados con el algoritmo del Prof. T. F. Rojas Vallejo. En 300 familias E.030 reservadas, Random Forest estimó la deriva máxima con un error absoluto medio de 0,040 % (X) y 0,040 % (Y) de la altura de piso y R² de 0,99, y detectó 137 de los 146 edificios que superan el límite de 0,7 %; Gradient Boosting, usado como comparación, alcanzó R² de 0,995. El módulo NSR-10, probado con un caso correcto, uno incompleto y uno erróneo, reproduce exactamente el cálculo de referencia del edificio del curso (cortante basal de 23,25 MN y derivas de 0,985 % y 0,991 %) y bloquea las entradas defectuosas. Con solo 18 edificios NSR-10 y validación por planta, el error de Random Forest fue de 0,086 % y 0,101 %, 39 % menor que la referencia, pero detectó solo 3 de 7 edificios cercanos al límite. La precisión depende sobre todo de la cantidad de datos trazables y de las variables físicas: la herramienta sirve para filtrar alternativas dentro del dominio entrenado, no para sustituir la verificación.</w:t>
      </w:r>
    </w:p>
    <w:p>
      <w:pPr>
        <w:spacing w:after="70" w:line="252"/>
        <w:jc w:val="both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Palabras clave: </w:t>
      </w:r>
      <w:r>
        <w:rPr>
          <w:rFonts w:ascii="Arial" w:cs="Arial" w:eastAsia="Arial" w:hAnsi="Arial"/>
          <w:sz w:val="19"/>
          <w:szCs w:val="19"/>
        </w:rPr>
        <w:t xml:space="preserve">deriva sísmica, Random Forest, Gradient Boosting, NSR-10, E.030, OpenSees, automatización, predimensionamiento.</w:t>
      </w:r>
    </w:p>
    <w:p>
      <w:pPr>
        <w:pStyle w:val="Heading1"/>
        <w:keepNext/>
        <w:spacing w:after="60" w:before="1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1. Introducción</w:t>
      </w:r>
    </w:p>
    <w:p>
      <w:pPr>
        <w:spacing w:after="70" w:line="252"/>
        <w:jc w:val="both"/>
      </w:pPr>
      <w:r>
        <w:rPr>
          <w:rFonts w:ascii="Arial" w:cs="Arial" w:eastAsia="Arial" w:hAnsi="Arial"/>
          <w:sz w:val="19"/>
          <w:szCs w:val="19"/>
        </w:rPr>
        <w:t xml:space="preserve">En el predimensionamiento de edificios aporticados el ingeniero prueba varias combinaciones de luces, secciones y alturas antes de fijar un modelo definitivo. Cada alternativa exige recalcular cargas, espectro, fuerzas sísmicas y derivas, aunque la decisión que se busca sea solo descartar opciones que no cumplirán. El aprendizaje automático se ha propuesto para estimar respuestas estructurales a partir de variables de diseño y reducir esas iteraciones [5, 6], pero su utilidad depende de que los datos de entrenamiento sean trazables y de que la evaluación se haga sobre configuraciones no vistas.</w:t>
      </w:r>
    </w:p>
    <w:p>
      <w:pPr>
        <w:spacing w:after="70" w:line="252"/>
        <w:jc w:val="both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Pregunta de investigación. </w:t>
      </w:r>
      <w:r>
        <w:rPr>
          <w:rFonts w:ascii="Arial" w:cs="Arial" w:eastAsia="Arial" w:hAnsi="Arial"/>
          <w:i/>
          <w:iCs/>
          <w:sz w:val="19"/>
          <w:szCs w:val="19"/>
        </w:rPr>
        <w:t xml:space="preserve">¿Con qué precisión Random Forest puede estimar las derivas máximas de familias de edificios aporticados no utilizadas durante el entrenamiento, y qué ventaja ofrece al comparar alternativas de predimensionamiento?</w:t>
      </w:r>
    </w:p>
    <w:p>
      <w:pPr>
        <w:spacing w:after="70" w:line="252"/>
        <w:jc w:val="both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Objetivo general: </w:t>
      </w:r>
      <w:r>
        <w:rPr>
          <w:rFonts w:ascii="Arial" w:cs="Arial" w:eastAsia="Arial" w:hAnsi="Arial"/>
          <w:sz w:val="19"/>
          <w:szCs w:val="19"/>
        </w:rPr>
        <w:t xml:space="preserve">desarrollar y validar una herramienta predictiva de derivas sustentada en simulaciones documentadas.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Objetivos específicos: </w:t>
      </w:r>
      <w:r>
        <w:rPr>
          <w:rFonts w:ascii="Arial" w:cs="Arial" w:eastAsia="Arial" w:hAnsi="Arial"/>
          <w:sz w:val="19"/>
          <w:szCs w:val="19"/>
        </w:rPr>
        <w:t xml:space="preserve">(i) generar y analizar familias paramétricas; (ii) automatizar y validar la verificación NSR-10 con datos de SAP2000; (iii) consolidar una base de datos con procedencia explícita; (iv) evaluar Random Forest frente a referencias sencillas con partición por familias; (v) demostrar el prototipo con entradas correctas, incompletas y erróneas.</w:t>
      </w:r>
    </w:p>
    <w:p>
      <w:pPr>
        <w:spacing w:after="70" w:line="252"/>
        <w:jc w:val="both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Ejes temáticos. </w:t>
      </w:r>
      <w:r>
        <w:rPr>
          <w:rFonts w:ascii="Arial" w:cs="Arial" w:eastAsia="Arial" w:hAnsi="Arial"/>
          <w:sz w:val="19"/>
          <w:szCs w:val="19"/>
        </w:rPr>
        <w:t xml:space="preserve">Inteligencia artificial y aprendizaje automático (Random Forest y su validación); programación y automatización para AEC (generador, módulo NSR-10, exportaciones); simulación estructural (OpenSees y SAP2000); análisis y visualización de datos (base de datos, métricas y gráficos).</w:t>
      </w:r>
    </w:p>
    <w:p>
      <w:pPr>
        <w:pStyle w:val="Heading1"/>
        <w:keepNext/>
        <w:spacing w:after="60" w:before="1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2. Metodología</w:t>
      </w:r>
    </w:p>
    <w:p>
      <w:pPr>
        <w:spacing w:after="70" w:line="252"/>
        <w:jc w:val="both"/>
      </w:pPr>
      <w:r>
        <w:rPr>
          <w:rFonts w:ascii="Arial" w:cs="Arial" w:eastAsia="Arial" w:hAnsi="Arial"/>
          <w:sz w:val="19"/>
          <w:szCs w:val="19"/>
        </w:rPr>
        <w:t xml:space="preserve">El enfoque es cuantitativo y aplicado, basado en experimentación computacional. La Figura 1 resume la arquitectura: las dos rutas normativas se mantienen separadas porque difieren en espectro, rango de alturas e hipótesis de rigidez, y convergen en un mismo procedimiento de aprendizaje y evaluación.</w:t>
      </w:r>
    </w:p>
    <w:p>
      <w:pPr>
        <w:keepNext/>
        <w:spacing w:after="30"/>
        <w:jc w:val="center"/>
      </w:pPr>
      <w:r>
        <w:drawing>
          <wp:inline distT="0" distB="0" distL="0" distR="0">
            <wp:extent cx="5334000" cy="2066925"/>
            <wp:effectExtent t="0" r="0" b="0" l="0"/>
            <wp:docPr id="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90"/>
        <w:jc w:val="center"/>
      </w:pPr>
      <w:r>
        <w:rPr>
          <w:rFonts w:ascii="Arial" w:cs="Arial" w:eastAsia="Arial" w:hAnsi="Arial"/>
          <w:i/>
          <w:iCs/>
          <w:color w:val="555555"/>
          <w:sz w:val="16"/>
          <w:szCs w:val="16"/>
        </w:rPr>
        <w:t xml:space="preserve">Figura 1. Flujo integrado de herramientas del proyecto.</w:t>
      </w:r>
    </w:p>
    <w:p>
      <w:pPr>
        <w:pStyle w:val="Heading2"/>
        <w:keepNext/>
        <w:spacing w:after="40" w:before="9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2.1 Ruta E.030: generación paramétrica</w:t>
      </w:r>
    </w:p>
    <w:p>
      <w:pPr>
        <w:spacing w:after="70" w:line="252"/>
        <w:jc w:val="both"/>
      </w:pPr>
      <w:r>
        <w:rPr>
          <w:rFonts w:ascii="Arial" w:cs="Arial" w:eastAsia="Arial" w:hAnsi="Arial"/>
          <w:sz w:val="19"/>
          <w:szCs w:val="19"/>
        </w:rPr>
        <w:t xml:space="preserve">Un generador en Python [11] crea edificios regulares de concreto armado de dos a cinco pisos, dos a cinco vanos por dirección y luces de 3 a 6 m, con f'c de 210 o 280 kgf/cm², zonas sísmicas Z = 0,10 a 0,45, suelos S0 a S3 y usos comunes o importantes. Predimensiona columnas, vigas y losas con criterios de la E.060, metra cargas según la E.020 y construye en OpenSeesPy [3] un pórtico espacial con secciones brutas y diafragma rígido por piso. El análisis modal espectral sigue la E.030 [2]: combinación CQC, regla direccional 100/30, excentricidad accidental de ±5 %, ajuste al cortante mínimo y deriva normativa igual a la elástica por 0,75·R (R = 8), comparada con 0,007. Se generaron 1 500 estructuras, una por familia y con semilla fija; 668 (45 %) superan el límite en alguna dirección. No se reduce la rigidez por agrietamiento ni se incluye P-Delta, simplificaciones que tienden a subestimar periodos y derivas.</w:t>
      </w:r>
    </w:p>
    <w:p>
      <w:pPr>
        <w:pStyle w:val="Heading2"/>
        <w:keepNext/>
        <w:spacing w:after="40" w:before="9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2.2 Ruta NSR-10: módulo automatizado de verificación</w:t>
      </w:r>
    </w:p>
    <w:p>
      <w:pPr>
        <w:spacing w:after="70" w:line="252"/>
        <w:jc w:val="both"/>
      </w:pPr>
      <w:r>
        <w:rPr>
          <w:rFonts w:ascii="Arial" w:cs="Arial" w:eastAsia="Arial" w:hAnsi="Arial"/>
          <w:sz w:val="19"/>
          <w:szCs w:val="19"/>
        </w:rPr>
        <w:t xml:space="preserve">El módulo </w:t>
      </w:r>
      <w:r>
        <w:rPr>
          <w:rFonts w:ascii="Arial" w:cs="Arial" w:eastAsia="Arial" w:hAnsi="Arial"/>
          <w:i/>
          <w:iCs/>
          <w:sz w:val="19"/>
          <w:szCs w:val="19"/>
        </w:rPr>
        <w:t xml:space="preserve">nexo_nsr10</w:t>
      </w:r>
      <w:r>
        <w:rPr>
          <w:rFonts w:ascii="Arial" w:cs="Arial" w:eastAsia="Arial" w:hAnsi="Arial"/>
          <w:sz w:val="19"/>
          <w:szCs w:val="19"/>
        </w:rPr>
        <w:t xml:space="preserve"> (Python) recibe un archivo JSON con el sitio, el sistema, la geometría, los pesos por nivel, los periodos de SAP2000 y los desplazamientos de dos esquinas opuestas para 12 combinaciones de deriva (±Fx y ±Fy, sin torsión y con ±Mz accidental). Primero valida que existan todos los campos y que estén en rango; luego aplica la NSR-10 [1]: espectro de la Figura A.2.6-1 con coeficientes de microzonificación de Bogotá [7], periodo aproximado y límite Cu·Ta (A.4.2), cortante basal y distribución vertical (A.4.3), torsión accidental del 5 % (A.3.6.7), derivas Δ = √(Δx² + Δy²) frente al 1,0 % de la altura de piso (A.6), índice de estabilidad Q (A.6.2.3) y coeficiente R con la revisión de irregularidad torsional (A.3.3). El caso de calibración es el edificio de oficinas de cinco pisos del curso de Diseño Estructural, grupo 1 (Bogotá, microzona Piedemonte A, Aa = 0,15, Av = 0,20, Fa = 1,65, Fv = 2,0).</w:t>
      </w:r>
    </w:p>
    <w:p>
      <w:pPr>
        <w:pStyle w:val="Heading2"/>
        <w:keepNext/>
        <w:spacing w:after="40" w:before="9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2.3 Aprendizaje en la ruta E.030</w:t>
      </w:r>
    </w:p>
    <w:p>
      <w:pPr>
        <w:spacing w:after="70" w:line="252"/>
        <w:jc w:val="both"/>
      </w:pPr>
      <w:r>
        <w:rPr>
          <w:rFonts w:ascii="Arial" w:cs="Arial" w:eastAsia="Arial" w:hAnsi="Arial"/>
          <w:sz w:val="19"/>
          <w:szCs w:val="19"/>
        </w:rPr>
        <w:t xml:space="preserve">Las estructuras se dividieron por familia en 1200 de desarrollo y 300 reservadas para una prueba final usada una sola vez. Las 107 entradas describen geometría, secciones, cargas, masas y sitio, todas conocidas antes del análisis. Random Forest [4] (scikit-learn [9], 250 árboles, hoja mínima de 1) recibe además variables físicas auxiliares —un periodo aproximado a partir de la rigidez lateral de los pisos y la ordenada espectral de la E.030— y aprende el cociente entre la respuesta de OpenSees y esa estimación. Como comparación se usaron Gradient Boosting [10], el modelo que el repositorio del equipo selecciona por validación cruzada por familias, y la media del entrenamiento. Se reportan MAE, RMSE, R² y la detección de edificios que superan 0,007.</w:t>
      </w:r>
    </w:p>
    <w:p>
      <w:pPr>
        <w:pStyle w:val="Heading2"/>
        <w:keepNext/>
        <w:spacing w:after="40" w:before="9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2.4 Base de datos NSR-10 y aprendizaje</w:t>
      </w:r>
    </w:p>
    <w:p>
      <w:pPr>
        <w:spacing w:after="70" w:line="252"/>
        <w:jc w:val="both"/>
      </w:pPr>
      <w:r>
        <w:rPr>
          <w:rFonts w:ascii="Arial" w:cs="Arial" w:eastAsia="Arial" w:hAnsi="Arial"/>
          <w:sz w:val="19"/>
          <w:szCs w:val="19"/>
        </w:rPr>
        <w:t xml:space="preserve">La base une, con un esquema común que registra fuente, norma, programa y estado del dato, 18 edificios diseñados con el algoritmo en OpenSees del Prof. T. F. Rojas Vallejo [8] (DES, suelo lacustre 200 de Bogotá, estructuras regulares) y los casos validados por el módulo. Las entradas de esos edificios (10 plantas regulares con relación de aspecto ≤ 1,5, dos alturas por planta entre 4 y 10 pisos, cargas del Título B y grupo de uso) fueron definidas por el equipo. Según el profesor, estos resultados son de carácter teórico: algunas plantas y luces no se resolverían con pórticos resistentes a momento en la práctica, y las dos configuraciones de la planta P9 se excluyeron por un error de dimensionamiento en el algoritmo.</w:t>
      </w:r>
    </w:p>
    <w:p>
      <w:pPr>
        <w:spacing w:after="70" w:line="252"/>
        <w:jc w:val="both"/>
      </w:pPr>
      <w:r>
        <w:rPr>
          <w:rFonts w:ascii="Arial" w:cs="Arial" w:eastAsia="Arial" w:hAnsi="Arial"/>
          <w:sz w:val="19"/>
          <w:szCs w:val="19"/>
        </w:rPr>
        <w:t xml:space="preserve">Se entrenó Random Forest [4] (scikit-learn [9], 500 árboles, hoja mínima de 2, semilla 42) con 13 variables conocidas antes del análisis: altura, pisos, dimensiones y área de planta, número de columnas, luces máxima y media, cargas, coeficiente de importancia, esbeltez y un peso aproximado (área × pisos × carga muerta). Se comparó con una regresión lineal y con una referencia sencilla (Ta = 0,047·H^0,9 para el periodo y la media del entrenamiento para las demás respuestas). La validación dejó fuera una planta completa en cada uno de los 9 pliegues, de modo que las dos alturas de una planta nunca se reparten entre entrenamiento y prueba. Se reportan MAE, RMSE, R², el error porcentual medio y la detección de edificios con deriva ≥ 0,90 %, umbral práctico de revisión.</w:t>
      </w:r>
    </w:p>
    <w:p>
      <w:pPr>
        <w:pStyle w:val="Heading1"/>
        <w:keepNext/>
        <w:spacing w:after="60" w:before="1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3. Resultados</w:t>
      </w:r>
    </w:p>
    <w:p>
      <w:pPr>
        <w:pStyle w:val="Heading2"/>
        <w:keepNext/>
        <w:spacing w:after="40" w:before="9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3.1 Prototipo NSR-10: tres pruebas</w:t>
      </w:r>
    </w:p>
    <w:p>
      <w:pPr>
        <w:spacing w:after="70" w:line="252"/>
        <w:jc w:val="both"/>
      </w:pPr>
      <w:r>
        <w:rPr>
          <w:rFonts w:ascii="Arial" w:cs="Arial" w:eastAsia="Arial" w:hAnsi="Arial"/>
          <w:sz w:val="19"/>
          <w:szCs w:val="19"/>
        </w:rPr>
        <w:t xml:space="preserve">Con la entrada completa, el módulo entregó Ta = 0,602 s, Cu·Ta = 0,764 s, Sa = 0,6187 g en la meseta del espectro, peso sísmico de 37,58 MN, cortante basal de 23,25 MN y derivas máximas de 0,985 % (X) y 0,991 % (Y), todas dentro del 1,0 % (Figura 2). Q máximo fue 0,0165 (no requiere P-Delta) y la relación Δmáx/Δprom = 1,193 quedó por debajo del 1,2 de irregularidad torsional, por lo que R = 5,0. Estos valores coinciden con el cálculo de referencia hecho con SAP2000 y hoja de cálculo. Al eliminar Fv, el módulo se detuvo e identificó el campo faltante; al introducir una altura libre de 350 (en centímetros), rechazó el valor e indicó el rango válido. Ninguna de las dos entradas defectuosas produjo resultados. Cada ejecución tardó menos de 1 ms.</w:t>
      </w:r>
    </w:p>
    <w:p>
      <w:pPr>
        <w:keepNext/>
        <w:spacing w:after="30"/>
        <w:jc w:val="center"/>
      </w:pPr>
      <w:r>
        <w:drawing>
          <wp:inline distT="0" distB="0" distL="0" distR="0">
            <wp:extent cx="3143250" cy="1943100"/>
            <wp:effectExtent t="0" r="0" b="0" l="0"/>
            <wp:docPr id="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90"/>
        <w:jc w:val="center"/>
      </w:pPr>
      <w:r>
        <w:rPr>
          <w:rFonts w:ascii="Arial" w:cs="Arial" w:eastAsia="Arial" w:hAnsi="Arial"/>
          <w:i/>
          <w:iCs/>
          <w:color w:val="555555"/>
          <w:sz w:val="16"/>
          <w:szCs w:val="16"/>
        </w:rPr>
        <w:t xml:space="preserve">Figura 2. Derivas por nivel del edificio del curso: envolvente de 12 combinaciones en las esquinas E5 y A1.</w:t>
      </w:r>
    </w:p>
    <w:p>
      <w:pPr>
        <w:pStyle w:val="Heading2"/>
        <w:keepNext/>
        <w:spacing w:after="40" w:before="9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3.2 Random Forest en familias E.030 reservadas</w:t>
      </w:r>
    </w:p>
    <w:p>
      <w:pPr>
        <w:spacing w:after="70" w:line="252"/>
        <w:jc w:val="both"/>
      </w:pPr>
      <w:r>
        <w:rPr>
          <w:rFonts w:ascii="Arial" w:cs="Arial" w:eastAsia="Arial" w:hAnsi="Arial"/>
          <w:sz w:val="19"/>
          <w:szCs w:val="19"/>
        </w:rPr>
        <w:t xml:space="preserve">La Tabla 1 resume la prueba en las 300 familias reservadas. Random Forest estimó la deriva máxima con un MAE de 0,040 % (X) y 0,040 % (Y) y R² de 0,990 y 0,990, frente a un R² nulo al predecir la media, y el periodo con R² de 0,996. De los 146 edificios de prueba que superan 0,007 en alguna dirección, detectó 137 con 2 falsas alarmas; los 9 no detectados tienen derivas reales entre 0,70 % y 0,76 %, justo por encima del límite (Figura 3). Gradient Boosting redujo el MAE de la deriva a 0,026 % y detectó 139 casos: una mejora modesta que indica que el aporte principal proviene de los datos y de las variables físicas más que del algoritmo. Entrenar cada modelo tomó unos 2 s y predecir un edificio, menos de 0,1 s.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100"/>
        <w:gridCol w:w="2100"/>
        <w:gridCol w:w="2100"/>
      </w:tblGrid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Respuesta (300 familias reservadas)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Random Forest MAE · R²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Gradient Boosting MAE · R²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Media (referencia) MAE · R²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Periodo Tx (s)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0,009 · 0,996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0,004 · 0,999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0,168 · -0,005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Deriva máx. X (%)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0,040 · 0,990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0,026 · 0,995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0,472 · -0,004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Deriva máx. Y (%)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0,040 · 0,990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0,026 · 0,995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0,476 · -0,005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Excedencias detectadas (X o Y)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137 de 146 · 2 falsas alarmas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139 de 146 · 2 falsas alarmas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</w:tr>
    </w:tbl>
    <w:p>
      <w:pPr>
        <w:spacing w:after="90"/>
        <w:jc w:val="center"/>
      </w:pPr>
      <w:r>
        <w:rPr>
          <w:rFonts w:ascii="Arial" w:cs="Arial" w:eastAsia="Arial" w:hAnsi="Arial"/>
          <w:i/>
          <w:iCs/>
          <w:color w:val="555555"/>
          <w:sz w:val="16"/>
          <w:szCs w:val="16"/>
        </w:rPr>
        <w:t xml:space="preserve">Tabla 1. Prueba única en 300 familias E.030 no vistas (1 200 de desarrollo). Derivas en % de la altura de piso.</w:t>
      </w:r>
    </w:p>
    <w:p>
      <w:pPr>
        <w:keepNext/>
        <w:spacing w:after="30"/>
        <w:jc w:val="center"/>
      </w:pPr>
      <w:r>
        <w:drawing>
          <wp:inline distT="0" distB="0" distL="0" distR="0">
            <wp:extent cx="4953000" cy="2200275"/>
            <wp:effectExtent t="0" r="0" b="0" l="0"/>
            <wp:docPr id="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90"/>
        <w:jc w:val="center"/>
      </w:pPr>
      <w:r>
        <w:rPr>
          <w:rFonts w:ascii="Arial" w:cs="Arial" w:eastAsia="Arial" w:hAnsi="Arial"/>
          <w:i/>
          <w:iCs/>
          <w:color w:val="555555"/>
          <w:sz w:val="16"/>
          <w:szCs w:val="16"/>
        </w:rPr>
        <w:t xml:space="preserve">Figura 3. Deriva calculada (OpenSees) frente a predicha por Random Forest en 300 familias E.030 reservadas.</w:t>
      </w:r>
    </w:p>
    <w:p>
      <w:pPr>
        <w:pStyle w:val="Heading2"/>
        <w:keepNext/>
        <w:spacing w:after="40" w:before="9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3.3 Random Forest sobre la base NSR-10</w:t>
      </w:r>
    </w:p>
    <w:p>
      <w:pPr>
        <w:spacing w:after="70" w:line="252"/>
        <w:jc w:val="both"/>
      </w:pPr>
      <w:r>
        <w:rPr>
          <w:rFonts w:ascii="Arial" w:cs="Arial" w:eastAsia="Arial" w:hAnsi="Arial"/>
          <w:sz w:val="19"/>
          <w:szCs w:val="19"/>
        </w:rPr>
        <w:t xml:space="preserve">La Tabla 2 resume el desempeño en plantas no vistas. Para las derivas, Random Forest redujo el error absoluto medio en 39 % (X) y 39 % (Y) respecto de la referencia y superó a la regresión lineal. Para el periodo y el cortante basal, la regresión lineal sobre variables físicas fue igual o ligeramente mejor, lo que es esperable con 18 casos y relaciones casi proporcionales a la altura y al peso. Ambos modelos mejoraron la fórmula Ta de la norma (error medio de 13,2 % frente a 9,2 % y 7,2 %). Las variables más influyentes en la deriva fueron el número de pisos, la altura y la esbeltez.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2300"/>
        <w:gridCol w:w="2300"/>
      </w:tblGrid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Respuesta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Random Forest MAE · R²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Regresión lineal MAE · R²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Referencia MAE · R²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Periodo Tx (s)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0,070 · 0,79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0,062 · 0,85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0,104 · 0,63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Cortante Vx (kN)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2601 · 0,65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2399 · 0,66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4766 · -0,08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Deriva máx. X (%)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0,086 · 0,59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0,094 · 0,53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0,142 · -0,13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Deriva máx. Y (%)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0,101 · 0,42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0,130 · 0,11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0,166 · -0,15</w:t>
            </w:r>
          </w:p>
        </w:tc>
      </w:tr>
    </w:tbl>
    <w:p>
      <w:pPr>
        <w:spacing w:after="90"/>
        <w:jc w:val="center"/>
      </w:pPr>
      <w:r>
        <w:rPr>
          <w:rFonts w:ascii="Arial" w:cs="Arial" w:eastAsia="Arial" w:hAnsi="Arial"/>
          <w:i/>
          <w:iCs/>
          <w:color w:val="555555"/>
          <w:sz w:val="16"/>
          <w:szCs w:val="16"/>
        </w:rPr>
        <w:t xml:space="preserve">Tabla 2. Error absoluto medio (MAE) y R² con validación dejando una planta fuera (18 edificios, 9 plantas). Derivas en % de la altura de piso.</w:t>
      </w:r>
    </w:p>
    <w:p>
      <w:pPr>
        <w:keepNext/>
        <w:spacing w:after="30"/>
        <w:jc w:val="center"/>
      </w:pPr>
      <w:r>
        <w:drawing>
          <wp:inline distT="0" distB="0" distL="0" distR="0">
            <wp:extent cx="5334000" cy="2362200"/>
            <wp:effectExtent t="0" r="0" b="0" l="0"/>
            <wp:docPr id="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90"/>
        <w:jc w:val="center"/>
      </w:pPr>
      <w:r>
        <w:rPr>
          <w:rFonts w:ascii="Arial" w:cs="Arial" w:eastAsia="Arial" w:hAnsi="Arial"/>
          <w:i/>
          <w:iCs/>
          <w:color w:val="555555"/>
          <w:sz w:val="16"/>
          <w:szCs w:val="16"/>
        </w:rPr>
        <w:t xml:space="preserve">Figura 4. Deriva calculada (OpenSees, profesor) frente a predicha por Random Forest en plantas NSR-10 no vistas.</w:t>
      </w:r>
    </w:p>
    <w:p>
      <w:pPr>
        <w:spacing w:after="70" w:line="252"/>
        <w:jc w:val="both"/>
      </w:pPr>
      <w:r>
        <w:rPr>
          <w:rFonts w:ascii="Arial" w:cs="Arial" w:eastAsia="Arial" w:hAnsi="Arial"/>
          <w:sz w:val="19"/>
          <w:szCs w:val="19"/>
        </w:rPr>
        <w:t xml:space="preserve">De los 7 edificios con deriva ≥ 0,90 %, el modelo identificó 3 y no generó falsas alarmas; los 4 restantes fueron subestimados (Figura 4). La predicción de un edificio tomó 32 ms y el entrenamiento de cada modelo unos 0,4 s.</w:t>
      </w:r>
    </w:p>
    <w:p>
      <w:pPr>
        <w:pStyle w:val="Heading1"/>
        <w:keepNext/>
        <w:spacing w:after="60" w:before="1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4. Discusión</w:t>
      </w:r>
    </w:p>
    <w:p>
      <w:pPr>
        <w:spacing w:after="70" w:line="252"/>
        <w:jc w:val="both"/>
      </w:pPr>
      <w:r>
        <w:rPr>
          <w:rFonts w:ascii="Arial" w:cs="Arial" w:eastAsia="Arial" w:hAnsi="Arial"/>
          <w:sz w:val="19"/>
          <w:szCs w:val="19"/>
        </w:rPr>
        <w:t xml:space="preserve">Los resultados responden la pregunta en dos escalas. Con una base amplia y trazable (E.030), Random Forest estima la deriva de familias no vistas con un error de unas cuatro centésimas de punto porcentual y detecta el 94 % de las excedencias, precisión suficiente para descartar alternativas antes de modelarlas; los casos no detectados están a menos de 0,06 puntos del límite, por lo que la verificación final sigue siendo necesaria en esa franja. Con 18 edificios teóricos (NSR-10), el mismo método solo ordena alternativas: el error es de una décima de punto y la mayoría de los casos exigentes se subestiman. La diferencia se explica por el tamaño de la muestra, el carácter teórico de varios diseños del profesor y las variables físicas usadas en la ruta E.030. Que Gradient Boosting mejore poco a Random Forest indica que la elección del algoritmo es secundaria frente a la calidad y cantidad de los datos.</w:t>
      </w:r>
    </w:p>
    <w:p>
      <w:pPr>
        <w:spacing w:after="70" w:line="252"/>
        <w:jc w:val="both"/>
      </w:pPr>
      <w:r>
        <w:rPr>
          <w:rFonts w:ascii="Arial" w:cs="Arial" w:eastAsia="Arial" w:hAnsi="Arial"/>
          <w:sz w:val="19"/>
          <w:szCs w:val="19"/>
        </w:rPr>
        <w:t xml:space="preserve">El módulo NSR-10 aporta lo que el predictor no puede dar por sí solo: respuestas de referencia trazables, validación de entradas y registros para ampliar la base colombiana hacia un tamaño comparable al de la E.030. Las dos rutas no se mezclan porque responden a normas, unidades, rangos de altura e hipótesis distintas; el modelo E.030 solo es válido dentro de su dominio (dos a cinco pisos) y rechaza entradas fuera de él. El ahorro de tiempo se manifiesta en la predicción (fracciones de segundo por alternativa frente a un análisis completo), pero no se cronometró el procedimiento manual de modelación en SAP2000, por lo que no se reporta un porcentaje de ahorro.</w:t>
      </w:r>
    </w:p>
    <w:p>
      <w:pPr>
        <w:spacing w:after="70" w:line="252"/>
        <w:jc w:val="both"/>
      </w:pPr>
      <w:r>
        <w:rPr>
          <w:rFonts w:ascii="Arial" w:cs="Arial" w:eastAsia="Arial" w:hAnsi="Arial"/>
          <w:sz w:val="19"/>
          <w:szCs w:val="19"/>
        </w:rPr>
        <w:t xml:space="preserve">El trabajo se organizó en cinco frentes con responsables definidos (planteamiento, generación y OpenSees, módulo NSR-10, datos y Random Forest, validación y coordinación), con un repositorio común y un registro de decisiones que documenta las iteraciones, entre ellas el cambio de modalidad a investigación aplicada y la separación de las dos rutas normativas.</w:t>
      </w:r>
    </w:p>
    <w:p>
      <w:pPr>
        <w:pStyle w:val="Heading1"/>
        <w:keepNext/>
        <w:spacing w:after="60" w:before="1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5. Conclusiones</w:t>
      </w:r>
    </w:p>
    <w:p>
      <w:pPr>
        <w:pStyle w:val="ListParagraph"/>
        <w:numPr>
          <w:ilvl w:val="0"/>
          <w:numId w:val="2"/>
        </w:numPr>
        <w:spacing w:after="30" w:line="245"/>
      </w:pPr>
      <w:r>
        <w:rPr>
          <w:rFonts w:ascii="Arial" w:cs="Arial" w:eastAsia="Arial" w:hAnsi="Arial"/>
          <w:sz w:val="19"/>
          <w:szCs w:val="19"/>
        </w:rPr>
        <w:t xml:space="preserve">El módulo NSR-10 reproduce el cálculo de referencia del edificio del curso (Vs, fuerzas, derivas de 12 combinaciones, Q y R) y rechaza entradas incompletas o erróneas antes de calcular.</w:t>
      </w:r>
    </w:p>
    <w:p>
      <w:pPr>
        <w:pStyle w:val="ListParagraph"/>
        <w:numPr>
          <w:ilvl w:val="0"/>
          <w:numId w:val="2"/>
        </w:numPr>
        <w:spacing w:after="30" w:line="245"/>
      </w:pPr>
      <w:r>
        <w:rPr>
          <w:rFonts w:ascii="Arial" w:cs="Arial" w:eastAsia="Arial" w:hAnsi="Arial"/>
          <w:sz w:val="19"/>
          <w:szCs w:val="19"/>
        </w:rPr>
        <w:t xml:space="preserve">En 300 familias E.030 no vistas, Random Forest estimó la deriva máxima con MAE de 0,040 % y R² de 0,99, y detectó 137 de 146 excedencias; Gradient Boosting, como comparación, llegó a R² de 0,995.</w:t>
      </w:r>
    </w:p>
    <w:p>
      <w:pPr>
        <w:pStyle w:val="ListParagraph"/>
        <w:numPr>
          <w:ilvl w:val="0"/>
          <w:numId w:val="2"/>
        </w:numPr>
        <w:spacing w:after="30" w:line="245"/>
      </w:pPr>
      <w:r>
        <w:rPr>
          <w:rFonts w:ascii="Arial" w:cs="Arial" w:eastAsia="Arial" w:hAnsi="Arial"/>
          <w:sz w:val="19"/>
          <w:szCs w:val="19"/>
        </w:rPr>
        <w:t xml:space="preserve">Con 18 casos NSR-10 teóricos y validación por planta, Random Forest redujo el error de deriva un 39 % frente a la referencia (MAE de 0,086 % y 0,101 %), pero detectó 3 de 7 edificios cercanos al límite: sirve para priorizar, no para certificar.</w:t>
      </w:r>
    </w:p>
    <w:p>
      <w:pPr>
        <w:pStyle w:val="ListParagraph"/>
        <w:numPr>
          <w:ilvl w:val="0"/>
          <w:numId w:val="2"/>
        </w:numPr>
        <w:spacing w:after="30" w:line="245"/>
      </w:pPr>
      <w:r>
        <w:rPr>
          <w:rFonts w:ascii="Arial" w:cs="Arial" w:eastAsia="Arial" w:hAnsi="Arial"/>
          <w:sz w:val="19"/>
          <w:szCs w:val="19"/>
        </w:rPr>
        <w:t xml:space="preserve">La precisión depende más de la cantidad y trazabilidad de los datos que del algoritmo. Siguientes pasos: ampliar la base NSR-10 con casos verificados por el módulo, conectar módulo y predictor al bot de Telegram y cronometrar el flujo completo para cuantificar el ahorro.</w:t>
      </w:r>
    </w:p>
    <w:p>
      <w:pPr>
        <w:pStyle w:val="Heading1"/>
        <w:keepNext/>
        <w:spacing w:after="60" w:before="1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Referencias</w:t>
      </w:r>
    </w:p>
    <w:p>
      <w:pPr>
        <w:spacing w:after="30"/>
      </w:pPr>
      <w:r>
        <w:rPr>
          <w:rFonts w:ascii="Arial" w:cs="Arial" w:eastAsia="Arial" w:hAnsi="Arial"/>
          <w:sz w:val="16"/>
          <w:szCs w:val="16"/>
        </w:rPr>
        <w:t xml:space="preserve">[1] Asociación Colombiana de Ingeniería Sísmica. (2010). Reglamento Colombiano de Construcción Sismo Resistente NSR-10, Títulos A, B y C. Bogotá.</w:t>
      </w:r>
    </w:p>
    <w:p>
      <w:pPr>
        <w:spacing w:after="30"/>
      </w:pPr>
      <w:r>
        <w:rPr>
          <w:rFonts w:ascii="Arial" w:cs="Arial" w:eastAsia="Arial" w:hAnsi="Arial"/>
          <w:sz w:val="16"/>
          <w:szCs w:val="16"/>
        </w:rPr>
        <w:t xml:space="preserve">[2] Ministerio de Vivienda, Construcción y Saneamiento. (2026). Norma Técnica E.030 Diseño Sismorresistente (RM 183-2026-VIVIENDA). Lima.</w:t>
      </w:r>
    </w:p>
    <w:p>
      <w:pPr>
        <w:spacing w:after="30"/>
      </w:pPr>
      <w:r>
        <w:rPr>
          <w:rFonts w:ascii="Arial" w:cs="Arial" w:eastAsia="Arial" w:hAnsi="Arial"/>
          <w:sz w:val="16"/>
          <w:szCs w:val="16"/>
        </w:rPr>
        <w:t xml:space="preserve">[3] McKenna, F., Scott, M. H., &amp; Fenves, G. L. (2010). Nonlinear finite-element analysis software architecture using object composition. Journal of Computing in Civil Engineering, 24(1), 95–107.</w:t>
      </w:r>
    </w:p>
    <w:p>
      <w:pPr>
        <w:spacing w:after="30"/>
      </w:pPr>
      <w:r>
        <w:rPr>
          <w:rFonts w:ascii="Arial" w:cs="Arial" w:eastAsia="Arial" w:hAnsi="Arial"/>
          <w:sz w:val="16"/>
          <w:szCs w:val="16"/>
        </w:rPr>
        <w:t xml:space="preserve">[4] Breiman, L. (2001). Random forests. Machine Learning, 45, 5–32.</w:t>
      </w:r>
    </w:p>
    <w:p>
      <w:pPr>
        <w:spacing w:after="30"/>
      </w:pPr>
      <w:r>
        <w:rPr>
          <w:rFonts w:ascii="Arial" w:cs="Arial" w:eastAsia="Arial" w:hAnsi="Arial"/>
          <w:sz w:val="16"/>
          <w:szCs w:val="16"/>
        </w:rPr>
        <w:t xml:space="preserve">[5] Sun, H., Burton, H. V., &amp; Huang, H. (2021). Machine learning applications for building structural design and performance assessment: State-of-the-art review. Journal of Building Engineering, 33, 101816.</w:t>
      </w:r>
    </w:p>
    <w:p>
      <w:pPr>
        <w:spacing w:after="30"/>
      </w:pPr>
      <w:r>
        <w:rPr>
          <w:rFonts w:ascii="Arial" w:cs="Arial" w:eastAsia="Arial" w:hAnsi="Arial"/>
          <w:sz w:val="16"/>
          <w:szCs w:val="16"/>
        </w:rPr>
        <w:t xml:space="preserve">[6] Xie, Y., Ebad Sichani, M., Padgett, J. E., &amp; DesRoches, R. (2020). The promises and challenges of machine learning in earthquake engineering. Earthquake Spectra, 36(4), 1769–1801.</w:t>
      </w:r>
    </w:p>
    <w:p>
      <w:pPr>
        <w:spacing w:after="30"/>
      </w:pPr>
      <w:r>
        <w:rPr>
          <w:rFonts w:ascii="Arial" w:cs="Arial" w:eastAsia="Arial" w:hAnsi="Arial"/>
          <w:sz w:val="16"/>
          <w:szCs w:val="16"/>
        </w:rPr>
        <w:t xml:space="preserve">[7] Alcaldía Mayor de Bogotá. (2010). Decreto 523 de 2010: microzonificación sísmica de Bogotá D.C.</w:t>
      </w:r>
    </w:p>
    <w:p>
      <w:pPr>
        <w:spacing w:after="30"/>
      </w:pPr>
      <w:r>
        <w:rPr>
          <w:rFonts w:ascii="Arial" w:cs="Arial" w:eastAsia="Arial" w:hAnsi="Arial"/>
          <w:sz w:val="16"/>
          <w:szCs w:val="16"/>
        </w:rPr>
        <w:t xml:space="preserve">[8] Rojas Vallejo, T. F. (2026). Algoritmo de diseño sísmico de pórticos de concreto reforzado en OpenSees [Código no publicado]. Universidad Nacional de Colombia.</w:t>
      </w:r>
    </w:p>
    <w:p>
      <w:pPr>
        <w:spacing w:after="30"/>
      </w:pPr>
      <w:r>
        <w:rPr>
          <w:rFonts w:ascii="Arial" w:cs="Arial" w:eastAsia="Arial" w:hAnsi="Arial"/>
          <w:sz w:val="16"/>
          <w:szCs w:val="16"/>
        </w:rPr>
        <w:t xml:space="preserve">[9] Pedregosa, F., et al. (2011). Scikit-learn: Machine learning in Python. Journal of Machine Learning Research, 12, 2825–2830.</w:t>
      </w:r>
    </w:p>
    <w:p>
      <w:pPr>
        <w:spacing w:after="30"/>
      </w:pPr>
      <w:r>
        <w:rPr>
          <w:rFonts w:ascii="Arial" w:cs="Arial" w:eastAsia="Arial" w:hAnsi="Arial"/>
          <w:sz w:val="16"/>
          <w:szCs w:val="16"/>
        </w:rPr>
        <w:t xml:space="preserve">[10] Friedman, J. H. (2001). Greedy function approximation: A gradient boosting machine. The Annals of Statistics, 29(5), 1189–1232.</w:t>
      </w:r>
    </w:p>
    <w:p>
      <w:pPr>
        <w:spacing w:after="30"/>
      </w:pPr>
      <w:r>
        <w:rPr>
          <w:rFonts w:ascii="Arial" w:cs="Arial" w:eastAsia="Arial" w:hAnsi="Arial"/>
          <w:sz w:val="16"/>
          <w:szCs w:val="16"/>
        </w:rPr>
        <w:t xml:space="preserve">[11] Equipo Nexo Sísmico. (2026). Pórticos de concreto armado: generador, análisis E.030 y modelos de aprendizaje [Repositorio de código]. https://github.com/PieroVQ/ProyectoGH</w:t>
      </w:r>
    </w:p>
    <w:sectPr>
      <w:footerReference w:type="default" r:id="rId6"/>
      <w:pgSz w:w="12240" w:h="15840" w:orient="portrait"/>
      <w:pgMar w:top="900" w:right="1000" w:bottom="900" w:left="10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77777"/>
        <w:sz w:val="14"/>
        <w:szCs w:val="14"/>
      </w:rPr>
      <w:t xml:space="preserve">Nexo Sísmico · Informe técnico · pág. </w:t>
    </w:r>
    <w:r>
      <w:rPr>
        <w:rFonts w:ascii="Arial" w:cs="Arial" w:eastAsia="Arial" w:hAnsi="Arial"/>
        <w:color w:val="777777"/>
        <w:sz w:val="14"/>
        <w:szCs w:val="14"/>
      </w:rPr>
      <w:fldChar w:fldCharType="begin"/>
    </w:r>
    <w:r>
      <w:rPr>
        <w:rFonts w:ascii="Arial" w:cs="Arial" w:eastAsia="Arial" w:hAnsi="Arial"/>
        <w:color w:val="777777"/>
        <w:sz w:val="14"/>
        <w:szCs w:val="14"/>
      </w:rPr>
      <w:instrText xml:space="preserve">PAGE</w:instrText>
    </w:r>
    <w:r>
      <w:rPr>
        <w:rFonts w:ascii="Arial" w:cs="Arial" w:eastAsia="Arial" w:hAnsi="Arial"/>
        <w:color w:val="777777"/>
        <w:sz w:val="14"/>
        <w:szCs w:val="14"/>
      </w:rPr>
      <w:fldChar w:fldCharType="separate"/>
    </w:r>
    <w:r>
      <w:rPr>
        <w:rFonts w:ascii="Arial" w:cs="Arial" w:eastAsia="Arial" w:hAnsi="Arial"/>
        <w:color w:val="777777"/>
        <w:sz w:val="14"/>
        <w:szCs w:val="14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bfc9dda0ab356d4e30a80b84be573fe6dbb8dd0d.png"/><Relationship Id="rId9" Type="http://schemas.openxmlformats.org/officeDocument/2006/relationships/image" Target="media/080cf73a633c99c37b688aa387617dea97520cc3.png"/><Relationship Id="rId10" Type="http://schemas.openxmlformats.org/officeDocument/2006/relationships/image" Target="media/7a95de381490e6c0889420297ceb7271708ce10f.png"/><Relationship Id="rId11" Type="http://schemas.openxmlformats.org/officeDocument/2006/relationships/image" Target="media/31c0b24ce57ff58845cfd9ac78d6ab421ba5dd6e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técnico Nexo Sísmico</dc:title>
  <dc:creator>Equipo Nexo Sísmico</dc:creator>
  <cp:lastModifiedBy>Un-named</cp:lastModifiedBy>
  <cp:revision>1</cp:revision>
  <dcterms:created xsi:type="dcterms:W3CDTF">2026-10-24T18:10:14.647Z</dcterms:created>
  <dcterms:modified xsi:type="dcterms:W3CDTF">2026-10-24T18:10:14.648Z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