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Georgia" w:hAnsi="Georgia"/>
          <w:b/>
          <w:color w:val="172032"/>
          <w:sz w:val="48"/>
        </w:rPr>
        <w:t>Guía de método filológico aplicado</w:t>
      </w:r>
    </w:p>
    <w:p>
      <w:pPr>
        <w:spacing w:after="280"/>
      </w:pPr>
      <w:r>
        <w:rPr>
          <w:rFonts w:ascii="Calibri" w:hAnsi="Calibri"/>
          <w:color w:val="667386"/>
          <w:sz w:val="22"/>
        </w:rPr>
        <w:t>Lectura, traducción, localización y documentación con criterio editorial</w:t>
      </w:r>
    </w:p>
    <w:p>
      <w:r>
        <w:drawing>
          <wp:inline xmlns:a="http://schemas.openxmlformats.org/drawingml/2006/main" xmlns:pic="http://schemas.openxmlformats.org/drawingml/2006/picture">
            <wp:extent cx="594360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orium-philology-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7386"/>
          <w:sz w:val="17"/>
        </w:rPr>
        <w:t>Visual de referencia: capas de trabajo filológico de Scriptorium.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</w:pPr>
            <w:r/>
            <w:r>
              <w:rPr>
                <w:rFonts w:ascii="Calibri" w:hAnsi="Calibri"/>
                <w:color w:val="243F50"/>
                <w:sz w:val="21"/>
              </w:rPr>
              <w:t>Uso sugerido: enviar este archivo como referencia comercial, guía interna o material previo a una cotización. No sustituye certificación juramentada ni asesoría legal.</w:t>
            </w:r>
          </w:p>
        </w:tc>
      </w:tr>
    </w:tbl>
    <w:p/>
    <w:p>
      <w:pPr>
        <w:pStyle w:val="Heading1"/>
      </w:pPr>
      <w:r>
        <w:t>Las cinco capas del trabajo</w:t>
      </w:r>
    </w:p>
    <w:p>
      <w:r>
        <w:t>Texto: estado del archivo, soporte, legibilidad y estructura. Forma: grafía, citas, tablas, interfaz o maquetación. Lengua: gramática, registro y terminología. Contexto: género, época, lector y uso. Entrega: formato final, nota, glosario o publicación.</w:t>
      </w:r>
    </w:p>
    <w:p>
      <w:r>
        <w:t>El método ayuda a que un proyecto no se pierda entre idiomas, formatos y expectativas distintas.</w:t>
      </w:r>
    </w:p>
    <w:p>
      <w:pPr>
        <w:pStyle w:val="Heading1"/>
      </w:pPr>
      <w:r>
        <w:t>Aplicación por tipo de servicio</w:t>
      </w:r>
    </w:p>
    <w:p>
      <w:pPr>
        <w:pStyle w:val="ListBullet"/>
      </w:pPr>
      <w:r>
        <w:t>Traducción documental: fidelidad, claridad y revisión</w:t>
      </w:r>
    </w:p>
    <w:p>
      <w:pPr>
        <w:pStyle w:val="ListBullet"/>
      </w:pPr>
      <w:r>
        <w:t>Localización: usuario, tono, interfaz y conversión</w:t>
      </w:r>
    </w:p>
    <w:p>
      <w:pPr>
        <w:pStyle w:val="ListBullet"/>
      </w:pPr>
      <w:r>
        <w:t>Académico: término, cita, registro y disciplina</w:t>
      </w:r>
    </w:p>
    <w:p>
      <w:pPr>
        <w:pStyle w:val="ListBullet"/>
      </w:pPr>
      <w:r>
        <w:t>Lenguas antiguas: transliteración, nota gramatical y contexto educativo</w:t>
      </w:r>
    </w:p>
    <w:p>
      <w:pPr>
        <w:pStyle w:val="ListBullet"/>
      </w:pPr>
      <w:r>
        <w:t>Publicación: estructura, versión bilingüe y presentación final</w:t>
      </w:r>
    </w:p>
    <w:p>
      <w:pPr>
        <w:pStyle w:val="Heading1"/>
      </w:pPr>
      <w:r>
        <w:t>Revisión antes de aceptar</w:t>
      </w:r>
    </w:p>
    <w:p>
      <w:r>
        <w:t>Cuando un archivo contiene material confidencial, médico, legal, académico sensible o imágenes de baja calidad, se solicita primero un fragmento o descripción para evaluar viabilidad sin exponer todo el documento.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método filológico aplicado</dc:title>
  <dc:subject/>
  <dc:creator>Scriptorium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