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Georgia" w:hAnsi="Georgia"/>
          <w:b/>
          <w:color w:val="172032"/>
          <w:sz w:val="48"/>
        </w:rPr>
        <w:t>Perfil de estudio filológico aplicado</w:t>
      </w:r>
    </w:p>
    <w:p>
      <w:pPr>
        <w:spacing w:after="280"/>
      </w:pPr>
      <w:r>
        <w:rPr>
          <w:rFonts w:ascii="Calibri" w:hAnsi="Calibri"/>
          <w:color w:val="667386"/>
          <w:sz w:val="22"/>
        </w:rPr>
        <w:t>Estudio de idiomas, textos antiguos, documentación y publicaciones</w:t>
      </w:r>
    </w:p>
    <w:p>
      <w:r>
        <w:drawing>
          <wp:inline xmlns:a="http://schemas.openxmlformats.org/drawingml/2006/main" xmlns:pic="http://schemas.openxmlformats.org/drawingml/2006/picture">
            <wp:extent cx="594360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iptorium-philology-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67386"/>
          <w:sz w:val="17"/>
        </w:rPr>
        <w:t>Visual de referencia: capas de trabajo filológico de Scriptorium.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/>
            </w:pPr>
            <w:r/>
            <w:r>
              <w:rPr>
                <w:rFonts w:ascii="Calibri" w:hAnsi="Calibri"/>
                <w:color w:val="243F50"/>
                <w:sz w:val="21"/>
              </w:rPr>
              <w:t>Uso sugerido: enviar este archivo como referencia comercial, guía interna o material previo a una cotización. No sustituye certificación juramentada ni asesoría legal.</w:t>
            </w:r>
          </w:p>
        </w:tc>
      </w:tr>
    </w:tbl>
    <w:p/>
    <w:p>
      <w:pPr>
        <w:pStyle w:val="Heading1"/>
      </w:pPr>
      <w:r>
        <w:t>Qué posiciona a Scriptorium</w:t>
      </w:r>
    </w:p>
    <w:p>
      <w:r>
        <w:t>Scriptorium se presenta como un estudio de idiomas con método filológico aplicado: no vende solo conversión palabra por palabra, sino lectura, contexto, forma documental y entrega profesional.</w:t>
      </w:r>
    </w:p>
    <w:p>
      <w:r>
        <w:t>El enfoque combina traducción, localización, apoyo editorial, documentación académica, materiales educativos y notas de lenguas históricas bajo cotización previa.</w:t>
      </w:r>
    </w:p>
    <w:p>
      <w:pPr>
        <w:pStyle w:val="Heading1"/>
      </w:pPr>
      <w:r>
        <w:t>Promesa operativa</w:t>
      </w:r>
    </w:p>
    <w:p>
      <w:r>
        <w:t>Cada solicitud se evalúa por idioma, extensión, formato, uso final, urgencia, sensibilidad y nivel de revisión. Esto protege al cliente y evita promesas genéricas.</w:t>
      </w:r>
    </w:p>
    <w:p>
      <w:pPr>
        <w:pStyle w:val="ListBullet"/>
      </w:pPr>
      <w:r>
        <w:t>Propuestas claras por alcance</w:t>
      </w:r>
    </w:p>
    <w:p>
      <w:pPr>
        <w:pStyle w:val="ListBullet"/>
      </w:pPr>
      <w:r>
        <w:t>Entregables editables cuando corresponda</w:t>
      </w:r>
    </w:p>
    <w:p>
      <w:pPr>
        <w:pStyle w:val="ListBullet"/>
      </w:pPr>
      <w:r>
        <w:t>Uso prudente de muestras y fragmentos</w:t>
      </w:r>
    </w:p>
    <w:p>
      <w:pPr>
        <w:pStyle w:val="ListBullet"/>
      </w:pPr>
      <w:r>
        <w:t>Separación entre trabajo educativo y certificaciones oficiales</w:t>
      </w:r>
    </w:p>
    <w:p>
      <w:pPr>
        <w:pStyle w:val="Heading1"/>
      </w:pPr>
      <w:r>
        <w:t>Límites profesionales</w:t>
      </w:r>
    </w:p>
    <w:p>
      <w:r>
        <w:t>Scriptorium no se presenta como traducción juramentada, despacho legal ni certificador académico. Los documentos sensibles requieren acuerdo previo de confidencialidad, alcance y canal de entrega.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estudio filológico aplicado</dc:title>
  <dc:subject/>
  <dc:creator>Scriptorium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