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b/>
          <w:color w:val="172032"/>
          <w:sz w:val="48"/>
        </w:rPr>
        <w:t>Lección demo: cómo leer una muestra antigua</w:t>
      </w:r>
    </w:p>
    <w:p>
      <w:r>
        <w:rPr>
          <w:color w:val="667386"/>
        </w:rPr>
        <w:t>Scriptorium - cursos, clases y materiales pedagógicos</w:t>
      </w:r>
    </w:p>
    <w:p>
      <w:r>
        <w:drawing>
          <wp:inline xmlns:a="http://schemas.openxmlformats.org/drawingml/2006/main" xmlns:pic="http://schemas.openxmlformats.org/drawingml/2006/picture">
            <wp:extent cx="5943600" cy="3820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card-ancient-languag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Objetivo de la lección</w:t>
      </w:r>
    </w:p>
    <w:p>
      <w:r>
        <w:t>Aprender a mirar un fragmento antiguo sin saltar directo a una traducción absoluta. Primero se separa soporte, escritura, transliteración, vocabulario, contexto y límite de interpretación.</w:t>
      </w:r>
    </w:p>
    <w:p>
      <w:pPr>
        <w:pStyle w:val="Heading1"/>
      </w:pPr>
      <w:r>
        <w:t>Estructura de clase</w:t>
      </w:r>
    </w:p>
    <w:p>
      <w:pPr>
        <w:pStyle w:val="ListBullet"/>
      </w:pPr>
      <w:r>
        <w:t>Observación visual del fragmento</w:t>
      </w:r>
    </w:p>
    <w:p>
      <w:pPr>
        <w:pStyle w:val="ListBullet"/>
      </w:pPr>
      <w:r>
        <w:t>Identificación de escritura o alfabeto</w:t>
      </w:r>
    </w:p>
    <w:p>
      <w:pPr>
        <w:pStyle w:val="ListBullet"/>
      </w:pPr>
      <w:r>
        <w:t>Transliteración normalizada cuando aplique</w:t>
      </w:r>
    </w:p>
    <w:p>
      <w:pPr>
        <w:pStyle w:val="ListBullet"/>
      </w:pPr>
      <w:r>
        <w:t>Traducción de muestra</w:t>
      </w:r>
    </w:p>
    <w:p>
      <w:pPr>
        <w:pStyle w:val="ListBullet"/>
      </w:pPr>
      <w:r>
        <w:t>Nota cultural y advertencia de alcance</w:t>
      </w:r>
    </w:p>
    <w:p>
      <w:pPr>
        <w:pStyle w:val="Heading1"/>
      </w:pPr>
      <w:r>
        <w:t>Resultado esperado</w:t>
      </w:r>
    </w:p>
    <w:p>
      <w:r>
        <w:t>El estudiante comprende por qué un texto antiguo exige prudencia y por qué un buen documento pedagógico distingue lectura, hipótesis y explicación.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720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