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F3A44"/>
          <w:sz w:val="48"/>
        </w:rPr>
        <w:t>Academic Abstract and Terminology Pack</w:t>
      </w:r>
    </w:p>
    <w:p>
      <w:pPr>
        <w:spacing w:after="240"/>
      </w:pPr>
      <w:r>
        <w:rPr>
          <w:rFonts w:ascii="Calibri" w:hAnsi="Calibri"/>
          <w:color w:val="5C6B72"/>
          <w:sz w:val="22"/>
        </w:rPr>
        <w:t>Original academic sample with abstract adaptation, terminology control and editorial notes.</w:t>
      </w:r>
    </w:p>
    <w:tbl>
      <w:tblPr>
        <w:tblStyle w:val="TableGrid"/>
        <w:tblW w:type="auto" w:w="0"/>
        <w:tblLook w:firstColumn="1" w:firstRow="1" w:lastColumn="0" w:lastRow="0" w:noHBand="0" w:noVBand="1" w:val="04A0"/>
      </w:tblPr>
      <w:tblGrid>
        <w:gridCol w:w="4853"/>
        <w:gridCol w:w="4853"/>
      </w:tblGrid>
      <w:tr>
        <w:tc>
          <w:tcPr>
            <w:tcW w:type="dxa" w:w="4853"/>
          </w:tcPr>
          <w:p>
            <w:r>
              <w:rPr>
                <w:b/>
              </w:rPr>
              <w:t>Document type</w:t>
            </w:r>
          </w:p>
        </w:tc>
        <w:tc>
          <w:tcPr>
            <w:tcW w:type="dxa" w:w="4853"/>
          </w:tcPr>
          <w:p>
            <w:r>
              <w:t>Original academic documentation sample</w:t>
            </w:r>
          </w:p>
        </w:tc>
      </w:tr>
      <w:tr>
        <w:tc>
          <w:tcPr>
            <w:tcW w:type="dxa" w:w="4853"/>
          </w:tcPr>
          <w:p>
            <w:r>
              <w:rPr>
                <w:b/>
              </w:rPr>
              <w:t>Use</w:t>
            </w:r>
          </w:p>
        </w:tc>
        <w:tc>
          <w:tcPr>
            <w:tcW w:type="dxa" w:w="4853"/>
          </w:tcPr>
          <w:p>
            <w:r>
              <w:t>Thesis, article abstract, literature review and research proposal support</w:t>
            </w:r>
          </w:p>
        </w:tc>
      </w:tr>
      <w:tr>
        <w:tc>
          <w:tcPr>
            <w:tcW w:type="dxa" w:w="4853"/>
          </w:tcPr>
          <w:p>
            <w:r>
              <w:rPr>
                <w:b/>
              </w:rPr>
              <w:t>Commercial status</w:t>
            </w:r>
          </w:p>
        </w:tc>
        <w:tc>
          <w:tcPr>
            <w:tcW w:type="dxa" w:w="4853"/>
          </w:tcPr>
          <w:p>
            <w:r>
              <w:t>Quote-only, non-certified language and editorial support</w:t>
            </w:r>
          </w:p>
        </w:tc>
      </w:tr>
      <w:tr>
        <w:tc>
          <w:tcPr>
            <w:tcW w:type="dxa" w:w="4853"/>
          </w:tcPr>
          <w:p>
            <w:r>
              <w:rPr>
                <w:b/>
              </w:rPr>
              <w:t>Languages</w:t>
            </w:r>
          </w:p>
        </w:tc>
        <w:tc>
          <w:tcPr>
            <w:tcW w:type="dxa" w:w="4853"/>
          </w:tcPr>
          <w:p>
            <w:r>
              <w:t>Spanish, English, German, French, Portuguese, Italian, Russian, Czech, Chinese, Japanese, Hebrew and Arabic; historical samples in Latin, Ancient Greek, Classical Arabic, Sanskrit and Old Norse.</w:t>
            </w:r>
          </w:p>
        </w:tc>
      </w:tr>
    </w:tbl>
    <w:p/>
    <w:p>
      <w:pPr>
        <w:pStyle w:val="Heading1"/>
      </w:pPr>
      <w:r>
        <w:t>Base abstract</w:t>
      </w:r>
    </w:p>
    <w:p>
      <w:r>
        <w:t>This sample examines how bilingual service documentation can increase comprehension in small organizations that work with international users. The focus is not only translation accuracy, but also the organization of information: what the service does, what it does not do, what the client must send and how revisions are handled.</w:t>
      </w:r>
    </w:p>
    <w:p>
      <w:pPr>
        <w:pStyle w:val="Heading1"/>
      </w:pPr>
      <w:r>
        <w:t>Spanish adaptation</w:t>
      </w:r>
    </w:p>
    <w:p>
      <w:r>
        <w:t>Esta muestra analiza cómo la documentación bilingüe de servicios puede aumentar la comprensión en organizaciones pequeñas que trabajan con usuarios internacionales. El enfoque no se limita a la precisión de la traducción, sino también a la organización de la información: qué hace el servicio, qué no hace, qué debe enviar el cliente y cómo se gestionan las revisiones.</w:t>
      </w:r>
    </w:p>
    <w:p>
      <w:pPr>
        <w:pStyle w:val="Heading1"/>
      </w:pPr>
      <w:r>
        <w:t>Terminology control</w:t>
      </w:r>
    </w:p>
    <w:tbl>
      <w:tblPr>
        <w:tblStyle w:val="TableGrid"/>
        <w:tblW w:type="auto" w:w="0"/>
        <w:tblLook w:firstColumn="1" w:firstRow="1" w:lastColumn="0" w:lastRow="0" w:noHBand="0" w:noVBand="1" w:val="04A0"/>
      </w:tblPr>
      <w:tblGrid>
        <w:gridCol w:w="3235"/>
        <w:gridCol w:w="3235"/>
        <w:gridCol w:w="3235"/>
      </w:tblGrid>
      <w:tr>
        <w:tc>
          <w:tcPr>
            <w:tcW w:type="dxa" w:w="3235"/>
          </w:tcPr>
          <w:p>
            <w:r>
              <w:rPr>
                <w:b/>
              </w:rPr>
              <w:t>Term</w:t>
            </w:r>
          </w:p>
        </w:tc>
        <w:tc>
          <w:tcPr>
            <w:tcW w:type="dxa" w:w="3235"/>
          </w:tcPr>
          <w:p>
            <w:r>
              <w:rPr>
                <w:b/>
              </w:rPr>
              <w:t>Preferred rendering</w:t>
            </w:r>
          </w:p>
        </w:tc>
        <w:tc>
          <w:tcPr>
            <w:tcW w:type="dxa" w:w="3235"/>
          </w:tcPr>
          <w:p>
            <w:r>
              <w:rPr>
                <w:b/>
              </w:rPr>
              <w:t>Note</w:t>
            </w:r>
          </w:p>
        </w:tc>
      </w:tr>
      <w:tr>
        <w:tc>
          <w:tcPr>
            <w:tcW w:type="dxa" w:w="3235"/>
          </w:tcPr>
          <w:p>
            <w:r>
              <w:t>scope</w:t>
            </w:r>
          </w:p>
        </w:tc>
        <w:tc>
          <w:tcPr>
            <w:tcW w:type="dxa" w:w="3235"/>
          </w:tcPr>
          <w:p>
            <w:r>
              <w:t>alcance</w:t>
            </w:r>
          </w:p>
        </w:tc>
        <w:tc>
          <w:tcPr>
            <w:tcW w:type="dxa" w:w="3235"/>
          </w:tcPr>
          <w:p>
            <w:r>
              <w:t>Use for service limits and deliverables.</w:t>
            </w:r>
          </w:p>
        </w:tc>
      </w:tr>
      <w:tr>
        <w:tc>
          <w:tcPr>
            <w:tcW w:type="dxa" w:w="3235"/>
          </w:tcPr>
          <w:p>
            <w:r>
              <w:t>revision round</w:t>
            </w:r>
          </w:p>
        </w:tc>
        <w:tc>
          <w:tcPr>
            <w:tcW w:type="dxa" w:w="3235"/>
          </w:tcPr>
          <w:p>
            <w:r>
              <w:t>ronda de revisión</w:t>
            </w:r>
          </w:p>
        </w:tc>
        <w:tc>
          <w:tcPr>
            <w:tcW w:type="dxa" w:w="3235"/>
          </w:tcPr>
          <w:p>
            <w:r>
              <w:t>Avoid vague wording such as correction.</w:t>
            </w:r>
          </w:p>
        </w:tc>
      </w:tr>
      <w:tr>
        <w:tc>
          <w:tcPr>
            <w:tcW w:type="dxa" w:w="3235"/>
          </w:tcPr>
          <w:p>
            <w:r>
              <w:t>source language</w:t>
            </w:r>
          </w:p>
        </w:tc>
        <w:tc>
          <w:tcPr>
            <w:tcW w:type="dxa" w:w="3235"/>
          </w:tcPr>
          <w:p>
            <w:r>
              <w:t>idioma origen</w:t>
            </w:r>
          </w:p>
        </w:tc>
        <w:tc>
          <w:tcPr>
            <w:tcW w:type="dxa" w:w="3235"/>
          </w:tcPr>
          <w:p>
            <w:r>
              <w:t>Keep paired with target language.</w:t>
            </w:r>
          </w:p>
        </w:tc>
      </w:tr>
      <w:tr>
        <w:tc>
          <w:tcPr>
            <w:tcW w:type="dxa" w:w="3235"/>
          </w:tcPr>
          <w:p>
            <w:r>
              <w:t>target language</w:t>
            </w:r>
          </w:p>
        </w:tc>
        <w:tc>
          <w:tcPr>
            <w:tcW w:type="dxa" w:w="3235"/>
          </w:tcPr>
          <w:p>
            <w:r>
              <w:t>idioma destino</w:t>
            </w:r>
          </w:p>
        </w:tc>
        <w:tc>
          <w:tcPr>
            <w:tcW w:type="dxa" w:w="3235"/>
          </w:tcPr>
          <w:p>
            <w:r>
              <w:t>Use consistently in forms and quotes.</w:t>
            </w:r>
          </w:p>
        </w:tc>
      </w:tr>
      <w:tr>
        <w:tc>
          <w:tcPr>
            <w:tcW w:type="dxa" w:w="3235"/>
          </w:tcPr>
          <w:p>
            <w:r>
              <w:t>confidential handling</w:t>
            </w:r>
          </w:p>
        </w:tc>
        <w:tc>
          <w:tcPr>
            <w:tcW w:type="dxa" w:w="3235"/>
          </w:tcPr>
          <w:p>
            <w:r>
              <w:t>manejo confidencial</w:t>
            </w:r>
          </w:p>
        </w:tc>
        <w:tc>
          <w:tcPr>
            <w:tcW w:type="dxa" w:w="3235"/>
          </w:tcPr>
          <w:p>
            <w:r>
              <w:t>Use before receiving sensitive files.</w:t>
            </w:r>
          </w:p>
        </w:tc>
      </w:tr>
    </w:tbl>
    <w:p>
      <w:pPr>
        <w:pStyle w:val="Heading1"/>
      </w:pPr>
      <w:r>
        <w:t>Editorial notes</w:t>
      </w:r>
    </w:p>
    <w:p>
      <w:pPr>
        <w:pStyle w:val="ListBullet"/>
      </w:pPr>
      <w:r>
        <w:t>The abstract is shortened before translation to avoid inflated academic phrasing.</w:t>
      </w:r>
    </w:p>
    <w:p>
      <w:pPr>
        <w:pStyle w:val="ListBullet"/>
      </w:pPr>
      <w:r>
        <w:t>Key service terms are standardized before drafting the final version.</w:t>
      </w:r>
    </w:p>
    <w:p>
      <w:pPr>
        <w:pStyle w:val="ListBullet"/>
      </w:pPr>
      <w:r>
        <w:t>The final text keeps a professional register without promising academic acceptance.</w:t>
      </w:r>
    </w:p>
    <w:p>
      <w:pPr>
        <w:pStyle w:val="ListBullet"/>
      </w:pPr>
      <w:r>
        <w:t>If the client requests a journal style, that requirement is quoted separately.</w:t>
      </w:r>
    </w:p>
    <w:sectPr w:rsidR="00FC693F" w:rsidRPr="0006063C" w:rsidSect="00034616">
      <w:footerReference w:type="default" r:id="rId9"/>
      <w:pgSz w:w="12240" w:h="15840"/>
      <w:pgMar w:top="1181" w:right="1267" w:bottom="1080"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B72"/>
        <w:sz w:val="16"/>
      </w:rPr>
      <w:t>Scriptorium - professional sample, non-certified language and documentation 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476A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476A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