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3A44"/>
          <w:sz w:val="48"/>
        </w:rPr>
        <w:t>Classical Annotation and Transliteration Pack</w:t>
      </w:r>
    </w:p>
    <w:p>
      <w:pPr>
        <w:spacing w:after="240"/>
      </w:pPr>
      <w:r>
        <w:rPr>
          <w:rFonts w:ascii="Calibri" w:hAnsi="Calibri"/>
          <w:color w:val="5C6B72"/>
          <w:sz w:val="22"/>
        </w:rPr>
        <w:t>Original educational sample for historical-language presentation and study notes.</w:t>
      </w:r>
    </w:p>
    <w:tbl>
      <w:tblPr>
        <w:tblStyle w:val="TableGrid"/>
        <w:tblW w:type="auto" w:w="0"/>
        <w:tblLook w:firstColumn="1" w:firstRow="1" w:lastColumn="0" w:lastRow="0" w:noHBand="0" w:noVBand="1" w:val="04A0"/>
      </w:tblPr>
      <w:tblGrid>
        <w:gridCol w:w="4853"/>
        <w:gridCol w:w="4853"/>
      </w:tblGrid>
      <w:tr>
        <w:tc>
          <w:tcPr>
            <w:tcW w:type="dxa" w:w="4853"/>
          </w:tcPr>
          <w:p>
            <w:r>
              <w:rPr>
                <w:b/>
              </w:rPr>
              <w:t>Document type</w:t>
            </w:r>
          </w:p>
        </w:tc>
        <w:tc>
          <w:tcPr>
            <w:tcW w:type="dxa" w:w="4853"/>
          </w:tcPr>
          <w:p>
            <w:r>
              <w:t>Original ancient-language educational sample</w:t>
            </w:r>
          </w:p>
        </w:tc>
      </w:tr>
      <w:tr>
        <w:tc>
          <w:tcPr>
            <w:tcW w:type="dxa" w:w="4853"/>
          </w:tcPr>
          <w:p>
            <w:r>
              <w:rPr>
                <w:b/>
              </w:rPr>
              <w:t>Use</w:t>
            </w:r>
          </w:p>
        </w:tc>
        <w:tc>
          <w:tcPr>
            <w:tcW w:type="dxa" w:w="4853"/>
          </w:tcPr>
          <w:p>
            <w:r>
              <w:t>Annotated samples, study guides, script notes and cultural documentation</w:t>
            </w:r>
          </w:p>
        </w:tc>
      </w:tr>
      <w:tr>
        <w:tc>
          <w:tcPr>
            <w:tcW w:type="dxa" w:w="4853"/>
          </w:tcPr>
          <w:p>
            <w:r>
              <w:rPr>
                <w:b/>
              </w:rPr>
              <w:t>Commercial status</w:t>
            </w:r>
          </w:p>
        </w:tc>
        <w:tc>
          <w:tcPr>
            <w:tcW w:type="dxa" w:w="4853"/>
          </w:tcPr>
          <w:p>
            <w:r>
              <w:t>Quote-only; educational annotation, not sworn translation</w:t>
            </w:r>
          </w:p>
        </w:tc>
      </w:tr>
      <w:tr>
        <w:tc>
          <w:tcPr>
            <w:tcW w:type="dxa" w:w="4853"/>
          </w:tcPr>
          <w:p>
            <w:r>
              <w:rPr>
                <w:b/>
              </w:rPr>
              <w:t>Languages</w:t>
            </w:r>
          </w:p>
        </w:tc>
        <w:tc>
          <w:tcPr>
            <w:tcW w:type="dxa" w:w="4853"/>
          </w:tcPr>
          <w:p>
            <w:r>
              <w:t>Latin, Ancient Greek, Hebrew, Classical Arabic, Sanskrit, Old Norse; modern explanation in Spanish and English.</w:t>
            </w:r>
          </w:p>
        </w:tc>
      </w:tr>
    </w:tbl>
    <w:p/>
    <w:p>
      <w:pPr>
        <w:pStyle w:val="Heading1"/>
      </w:pPr>
      <w:r>
        <w:t>Purpose</w:t>
      </w:r>
    </w:p>
    <w:p>
      <w:r>
        <w:t>Ancient-language work should be presented with humility and structure. This sample separates original form, transliteration, literal meaning and explanatory note so the reader can see what is known, what is interpreted and what remains contextual.</w:t>
      </w:r>
    </w:p>
    <w:p>
      <w:pPr>
        <w:pStyle w:val="Heading1"/>
      </w:pPr>
      <w:r>
        <w:t>Annotated examples</w:t>
      </w:r>
    </w:p>
    <w:tbl>
      <w:tblPr>
        <w:tblStyle w:val="TableGrid"/>
        <w:tblW w:type="auto" w:w="0"/>
        <w:tblLook w:firstColumn="1" w:firstRow="1" w:lastColumn="0" w:lastRow="0" w:noHBand="0" w:noVBand="1" w:val="04A0"/>
      </w:tblPr>
      <w:tblGrid>
        <w:gridCol w:w="2426"/>
        <w:gridCol w:w="2426"/>
        <w:gridCol w:w="2426"/>
        <w:gridCol w:w="2426"/>
      </w:tblGrid>
      <w:tr>
        <w:tc>
          <w:tcPr>
            <w:tcW w:type="dxa" w:w="2426"/>
          </w:tcPr>
          <w:p>
            <w:r>
              <w:rPr>
                <w:b/>
              </w:rPr>
              <w:t>Language</w:t>
            </w:r>
          </w:p>
        </w:tc>
        <w:tc>
          <w:tcPr>
            <w:tcW w:type="dxa" w:w="2426"/>
          </w:tcPr>
          <w:p>
            <w:r>
              <w:rPr>
                <w:b/>
              </w:rPr>
              <w:t>Original</w:t>
            </w:r>
          </w:p>
        </w:tc>
        <w:tc>
          <w:tcPr>
            <w:tcW w:type="dxa" w:w="2426"/>
          </w:tcPr>
          <w:p>
            <w:r>
              <w:rPr>
                <w:b/>
              </w:rPr>
              <w:t>Transliteration</w:t>
            </w:r>
          </w:p>
        </w:tc>
        <w:tc>
          <w:tcPr>
            <w:tcW w:type="dxa" w:w="2426"/>
          </w:tcPr>
          <w:p>
            <w:r>
              <w:rPr>
                <w:b/>
              </w:rPr>
              <w:t>Study note</w:t>
            </w:r>
          </w:p>
        </w:tc>
      </w:tr>
      <w:tr>
        <w:tc>
          <w:tcPr>
            <w:tcW w:type="dxa" w:w="2426"/>
          </w:tcPr>
          <w:p>
            <w:r>
              <w:t>Latin</w:t>
            </w:r>
          </w:p>
        </w:tc>
        <w:tc>
          <w:tcPr>
            <w:tcW w:type="dxa" w:w="2426"/>
          </w:tcPr>
          <w:p>
            <w:r>
              <w:t>Vita brevis, ars longa</w:t>
            </w:r>
          </w:p>
        </w:tc>
        <w:tc>
          <w:tcPr>
            <w:tcW w:type="dxa" w:w="2426"/>
          </w:tcPr>
          <w:p>
            <w:r>
              <w:t>vita brevis, ars longa</w:t>
            </w:r>
          </w:p>
        </w:tc>
        <w:tc>
          <w:tcPr>
            <w:tcW w:type="dxa" w:w="2426"/>
          </w:tcPr>
          <w:p>
            <w:r>
              <w:t>A concise aphoristic structure often used to discuss art, skill and time.</w:t>
            </w:r>
          </w:p>
        </w:tc>
      </w:tr>
      <w:tr>
        <w:tc>
          <w:tcPr>
            <w:tcW w:type="dxa" w:w="2426"/>
          </w:tcPr>
          <w:p>
            <w:r>
              <w:t>Ancient Greek</w:t>
            </w:r>
          </w:p>
        </w:tc>
        <w:tc>
          <w:tcPr>
            <w:tcW w:type="dxa" w:w="2426"/>
          </w:tcPr>
          <w:p>
            <w:r>
              <w:t>γνῶθι σεαυτόν</w:t>
            </w:r>
          </w:p>
        </w:tc>
        <w:tc>
          <w:tcPr>
            <w:tcW w:type="dxa" w:w="2426"/>
          </w:tcPr>
          <w:p>
            <w:r>
              <w:t>gnothi seauton</w:t>
            </w:r>
          </w:p>
        </w:tc>
        <w:tc>
          <w:tcPr>
            <w:tcW w:type="dxa" w:w="2426"/>
          </w:tcPr>
          <w:p>
            <w:r>
              <w:t>Imperative phrase traditionally rendered as 'know yourself'.</w:t>
            </w:r>
          </w:p>
        </w:tc>
      </w:tr>
      <w:tr>
        <w:tc>
          <w:tcPr>
            <w:tcW w:type="dxa" w:w="2426"/>
          </w:tcPr>
          <w:p>
            <w:r>
              <w:t>Hebrew</w:t>
            </w:r>
          </w:p>
        </w:tc>
        <w:tc>
          <w:tcPr>
            <w:tcW w:type="dxa" w:w="2426"/>
          </w:tcPr>
          <w:p>
            <w:r>
              <w:t>שָׁלוֹם</w:t>
            </w:r>
          </w:p>
        </w:tc>
        <w:tc>
          <w:tcPr>
            <w:tcW w:type="dxa" w:w="2426"/>
          </w:tcPr>
          <w:p>
            <w:r>
              <w:t>shalom</w:t>
            </w:r>
          </w:p>
        </w:tc>
        <w:tc>
          <w:tcPr>
            <w:tcW w:type="dxa" w:w="2426"/>
          </w:tcPr>
          <w:p>
            <w:r>
              <w:t>Can point to peace, wholeness or wellbeing depending on context.</w:t>
            </w:r>
          </w:p>
        </w:tc>
      </w:tr>
      <w:tr>
        <w:tc>
          <w:tcPr>
            <w:tcW w:type="dxa" w:w="2426"/>
          </w:tcPr>
          <w:p>
            <w:r>
              <w:t>Classical Arabic</w:t>
            </w:r>
          </w:p>
        </w:tc>
        <w:tc>
          <w:tcPr>
            <w:tcW w:type="dxa" w:w="2426"/>
          </w:tcPr>
          <w:p>
            <w:r>
              <w:t>علم</w:t>
            </w:r>
          </w:p>
        </w:tc>
        <w:tc>
          <w:tcPr>
            <w:tcW w:type="dxa" w:w="2426"/>
          </w:tcPr>
          <w:p>
            <w:r>
              <w:t>ilm</w:t>
            </w:r>
          </w:p>
        </w:tc>
        <w:tc>
          <w:tcPr>
            <w:tcW w:type="dxa" w:w="2426"/>
          </w:tcPr>
          <w:p>
            <w:r>
              <w:t>Knowledge; root-based interpretation depends on vocalization and context.</w:t>
            </w:r>
          </w:p>
        </w:tc>
      </w:tr>
      <w:tr>
        <w:tc>
          <w:tcPr>
            <w:tcW w:type="dxa" w:w="2426"/>
          </w:tcPr>
          <w:p>
            <w:r>
              <w:t>Sanskrit</w:t>
            </w:r>
          </w:p>
        </w:tc>
        <w:tc>
          <w:tcPr>
            <w:tcW w:type="dxa" w:w="2426"/>
          </w:tcPr>
          <w:p>
            <w:r>
              <w:t>धर्म</w:t>
            </w:r>
          </w:p>
        </w:tc>
        <w:tc>
          <w:tcPr>
            <w:tcW w:type="dxa" w:w="2426"/>
          </w:tcPr>
          <w:p>
            <w:r>
              <w:t>dharma</w:t>
            </w:r>
          </w:p>
        </w:tc>
        <w:tc>
          <w:tcPr>
            <w:tcW w:type="dxa" w:w="2426"/>
          </w:tcPr>
          <w:p>
            <w:r>
              <w:t>Duty, order, law or teaching depending on tradition and passage.</w:t>
            </w:r>
          </w:p>
        </w:tc>
      </w:tr>
      <w:tr>
        <w:tc>
          <w:tcPr>
            <w:tcW w:type="dxa" w:w="2426"/>
          </w:tcPr>
          <w:p>
            <w:r>
              <w:t>Old Norse</w:t>
            </w:r>
          </w:p>
        </w:tc>
        <w:tc>
          <w:tcPr>
            <w:tcW w:type="dxa" w:w="2426"/>
          </w:tcPr>
          <w:p>
            <w:r>
              <w:t>ᚠᚢᚦᚨᚱᚲ</w:t>
            </w:r>
          </w:p>
        </w:tc>
        <w:tc>
          <w:tcPr>
            <w:tcW w:type="dxa" w:w="2426"/>
          </w:tcPr>
          <w:p>
            <w:r>
              <w:t>futhark</w:t>
            </w:r>
          </w:p>
        </w:tc>
        <w:tc>
          <w:tcPr>
            <w:tcW w:type="dxa" w:w="2426"/>
          </w:tcPr>
          <w:p>
            <w:r>
              <w:t>Runic sequence used as an entry point for script study.</w:t>
            </w:r>
          </w:p>
        </w:tc>
      </w:tr>
    </w:tbl>
    <w:p>
      <w:pPr>
        <w:pStyle w:val="Heading1"/>
      </w:pPr>
      <w:r>
        <w:t>Delivery model</w:t>
      </w:r>
    </w:p>
    <w:p>
      <w:pPr>
        <w:pStyle w:val="ListBullet"/>
      </w:pPr>
      <w:r>
        <w:t>Short excerpt with original script where possible.</w:t>
      </w:r>
    </w:p>
    <w:p>
      <w:pPr>
        <w:pStyle w:val="ListBullet"/>
      </w:pPr>
      <w:r>
        <w:t>Transliteration using a readable system agreed before delivery.</w:t>
      </w:r>
    </w:p>
    <w:p>
      <w:pPr>
        <w:pStyle w:val="ListBullet"/>
      </w:pPr>
      <w:r>
        <w:t>Literal meaning separated from interpretive explanation.</w:t>
      </w:r>
    </w:p>
    <w:p>
      <w:pPr>
        <w:pStyle w:val="ListBullet"/>
      </w:pPr>
      <w:r>
        <w:t>Notes about uncertainty, tradition and educational limits.</w:t>
      </w:r>
    </w:p>
    <w:p>
      <w:pPr>
        <w:pStyle w:val="Heading1"/>
      </w:pPr>
      <w:r>
        <w:t>Professional limit</w:t>
      </w:r>
    </w:p>
    <w:p>
      <w:r>
        <w:t>This work is presented as study, annotation and educational documentation. It is not legal, religious, medical or certified translation advice.</w:t>
      </w:r>
    </w:p>
    <w:sectPr w:rsidR="00FC693F" w:rsidRPr="0006063C" w:rsidSect="00034616">
      <w:footerReference w:type="default" r:id="rId9"/>
      <w:pgSz w:w="12240" w:h="15840"/>
      <w:pgMar w:top="1181" w:right="1267" w:bottom="1080"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2"/>
        <w:sz w:val="16"/>
      </w:rPr>
      <w:t>Scriptorium - professional sample, non-certified language and documentation 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476A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476A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