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44"/>
          <w:sz w:val="48"/>
        </w:rPr>
        <w:t>Language Access and Digital Trust</w:t>
      </w:r>
    </w:p>
    <w:p>
      <w:pPr>
        <w:spacing w:after="240"/>
      </w:pPr>
      <w:r>
        <w:rPr>
          <w:rFonts w:ascii="Calibri" w:hAnsi="Calibri"/>
          <w:color w:val="5C6B72"/>
          <w:sz w:val="22"/>
        </w:rPr>
        <w:t>Original bilingual research brief for service pages, onboarding and client communication.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53"/>
          </w:tcPr>
          <w:p>
            <w:r>
              <w:t>Original research-style portfolio sample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Use</w:t>
            </w:r>
          </w:p>
        </w:tc>
        <w:tc>
          <w:tcPr>
            <w:tcW w:type="dxa" w:w="4853"/>
          </w:tcPr>
          <w:p>
            <w:r>
              <w:t>Academic, public information and service communication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Commercial status</w:t>
            </w:r>
          </w:p>
        </w:tc>
        <w:tc>
          <w:tcPr>
            <w:tcW w:type="dxa" w:w="4853"/>
          </w:tcPr>
          <w:p>
            <w:r>
              <w:t>Quote-only, non-certified language work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853"/>
          </w:tcPr>
          <w:p>
            <w:r>
              <w:t>Spanish, English, German, French, Portuguese, Italian, Russian, Czech, Chinese, Japanese, Hebrew and Arabic; historical samples in Latin, Ancient Greek, Classical Arabic, Sanskrit and Old Norse.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Clear language access improves trust when a digital service asks users to share personal, academic or professional information. This original Scriptorium sample demonstrates how a short research brief can become a practical multilingual asset without pretending to be an external client case.</w:t>
      </w:r>
    </w:p>
    <w:p>
      <w:r>
        <w:t>The key finding is simple: users understand a service faster when the page separates the promise, the scope, the limits and the next action. Translation alone is not enough when the reader also needs orientation, safety and confidence.</w:t>
      </w:r>
    </w:p>
    <w:p>
      <w:pPr>
        <w:pStyle w:val="Heading1"/>
      </w:pPr>
      <w:r>
        <w:t>Method used for this sample</w:t>
      </w:r>
    </w:p>
    <w:p>
      <w:pPr>
        <w:pStyle w:val="ListBullet"/>
      </w:pPr>
      <w:r>
        <w:t>A Spanish base text was drafted as a service-information brief.</w:t>
      </w:r>
    </w:p>
    <w:p>
      <w:pPr>
        <w:pStyle w:val="ListBullet"/>
      </w:pPr>
      <w:r>
        <w:t>The content was adapted into selected modern languages with attention to tone and usage.</w:t>
      </w:r>
    </w:p>
    <w:p>
      <w:pPr>
        <w:pStyle w:val="ListBullet"/>
      </w:pPr>
      <w:r>
        <w:t>Sensitive claims were removed: no certification, no legal advice and no invented client outcome.</w:t>
      </w:r>
    </w:p>
    <w:p>
      <w:pPr>
        <w:pStyle w:val="ListBullet"/>
      </w:pPr>
      <w:r>
        <w:t>Terminology was kept stable: access, scope, confidentiality, revision and delivery.</w:t>
      </w:r>
    </w:p>
    <w:p>
      <w:pPr>
        <w:pStyle w:val="Heading1"/>
      </w:pPr>
      <w:r>
        <w:t>Multilingual excerpt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853"/>
          </w:tcPr>
          <w:p>
            <w:r>
              <w:rPr>
                <w:b/>
              </w:rPr>
              <w:t>Localized sample</w:t>
            </w:r>
          </w:p>
        </w:tc>
      </w:tr>
      <w:tr>
        <w:tc>
          <w:tcPr>
            <w:tcW w:type="dxa" w:w="4853"/>
          </w:tcPr>
          <w:p>
            <w:r>
              <w:t>Spanish</w:t>
            </w:r>
          </w:p>
        </w:tc>
        <w:tc>
          <w:tcPr>
            <w:tcW w:type="dxa" w:w="4853"/>
          </w:tcPr>
          <w:p>
            <w:r>
              <w:t>La claridad lingüística reduce fricción cuando el usuario debe compartir información sensible.</w:t>
            </w:r>
          </w:p>
        </w:tc>
      </w:tr>
      <w:tr>
        <w:tc>
          <w:tcPr>
            <w:tcW w:type="dxa" w:w="4853"/>
          </w:tcPr>
          <w:p>
            <w:r>
              <w:t>English</w:t>
            </w:r>
          </w:p>
        </w:tc>
        <w:tc>
          <w:tcPr>
            <w:tcW w:type="dxa" w:w="4853"/>
          </w:tcPr>
          <w:p>
            <w:r>
              <w:t>Clear language reduces friction when users need to share sensitive information.</w:t>
            </w:r>
          </w:p>
        </w:tc>
      </w:tr>
      <w:tr>
        <w:tc>
          <w:tcPr>
            <w:tcW w:type="dxa" w:w="4853"/>
          </w:tcPr>
          <w:p>
            <w:r>
              <w:t>German</w:t>
            </w:r>
          </w:p>
        </w:tc>
        <w:tc>
          <w:tcPr>
            <w:tcW w:type="dxa" w:w="4853"/>
          </w:tcPr>
          <w:p>
            <w:r>
              <w:t>Klare Sprache verringert Reibung, wenn Nutzer sensible Informationen teilen müssen.</w:t>
            </w:r>
          </w:p>
        </w:tc>
      </w:tr>
      <w:tr>
        <w:tc>
          <w:tcPr>
            <w:tcW w:type="dxa" w:w="4853"/>
          </w:tcPr>
          <w:p>
            <w:r>
              <w:t>French</w:t>
            </w:r>
          </w:p>
        </w:tc>
        <w:tc>
          <w:tcPr>
            <w:tcW w:type="dxa" w:w="4853"/>
          </w:tcPr>
          <w:p>
            <w:r>
              <w:t>Un langage clair réduit la friction lorsque l'utilisateur doit partager des informations sensibles.</w:t>
            </w:r>
          </w:p>
        </w:tc>
      </w:tr>
      <w:tr>
        <w:tc>
          <w:tcPr>
            <w:tcW w:type="dxa" w:w="4853"/>
          </w:tcPr>
          <w:p>
            <w:r>
              <w:t>Portuguese</w:t>
            </w:r>
          </w:p>
        </w:tc>
        <w:tc>
          <w:tcPr>
            <w:tcW w:type="dxa" w:w="4853"/>
          </w:tcPr>
          <w:p>
            <w:r>
              <w:t>A linguagem clara reduz atritos quando o usuário precisa compartilhar informações sensíveis.</w:t>
            </w:r>
          </w:p>
        </w:tc>
      </w:tr>
      <w:tr>
        <w:tc>
          <w:tcPr>
            <w:tcW w:type="dxa" w:w="4853"/>
          </w:tcPr>
          <w:p>
            <w:r>
              <w:t>Italian</w:t>
            </w:r>
          </w:p>
        </w:tc>
        <w:tc>
          <w:tcPr>
            <w:tcW w:type="dxa" w:w="4853"/>
          </w:tcPr>
          <w:p>
            <w:r>
              <w:t>Un linguaggio chiaro riduce l'attrito quando l'utente deve condividere informazioni sensibili.</w:t>
            </w:r>
          </w:p>
        </w:tc>
      </w:tr>
      <w:tr>
        <w:tc>
          <w:tcPr>
            <w:tcW w:type="dxa" w:w="4853"/>
          </w:tcPr>
          <w:p>
            <w:r>
              <w:t>Russian</w:t>
            </w:r>
          </w:p>
        </w:tc>
        <w:tc>
          <w:tcPr>
            <w:tcW w:type="dxa" w:w="4853"/>
          </w:tcPr>
          <w:p>
            <w:r>
              <w:t>Ясный язык снижает барьер, когда пользователь должен передать чувствительную информацию.</w:t>
            </w:r>
          </w:p>
        </w:tc>
      </w:tr>
      <w:tr>
        <w:tc>
          <w:tcPr>
            <w:tcW w:type="dxa" w:w="4853"/>
          </w:tcPr>
          <w:p>
            <w:r>
              <w:t>Czech</w:t>
            </w:r>
          </w:p>
        </w:tc>
        <w:tc>
          <w:tcPr>
            <w:tcW w:type="dxa" w:w="4853"/>
          </w:tcPr>
          <w:p>
            <w:r>
              <w:t>Jasný jazyk snižuje tření, když má uživatel sdílet citlivé informace.</w:t>
            </w:r>
          </w:p>
        </w:tc>
      </w:tr>
      <w:tr>
        <w:tc>
          <w:tcPr>
            <w:tcW w:type="dxa" w:w="4853"/>
          </w:tcPr>
          <w:p>
            <w:r>
              <w:t>Chinese</w:t>
            </w:r>
          </w:p>
        </w:tc>
        <w:tc>
          <w:tcPr>
            <w:tcW w:type="dxa" w:w="4853"/>
          </w:tcPr>
          <w:p>
            <w:r>
              <w:t>清晰的语言能降低用户分享敏感信息时的阻力。</w:t>
            </w:r>
          </w:p>
        </w:tc>
      </w:tr>
      <w:tr>
        <w:tc>
          <w:tcPr>
            <w:tcW w:type="dxa" w:w="4853"/>
          </w:tcPr>
          <w:p>
            <w:r>
              <w:t>Japanese</w:t>
            </w:r>
          </w:p>
        </w:tc>
        <w:tc>
          <w:tcPr>
            <w:tcW w:type="dxa" w:w="4853"/>
          </w:tcPr>
          <w:p>
            <w:r>
              <w:t>明確な表現は、利用者が機密情報を共有する際の不安を減らします。</w:t>
            </w:r>
          </w:p>
        </w:tc>
      </w:tr>
      <w:tr>
        <w:tc>
          <w:tcPr>
            <w:tcW w:type="dxa" w:w="4853"/>
          </w:tcPr>
          <w:p>
            <w:r>
              <w:t>Hebrew</w:t>
            </w:r>
          </w:p>
        </w:tc>
        <w:tc>
          <w:tcPr>
            <w:tcW w:type="dxa" w:w="4853"/>
          </w:tcPr>
          <w:p>
            <w:r>
              <w:t>שפה ברורה מפחיתה חיכוך כאשר משתמשים צריכים לשתף מידע רגיש.</w:t>
            </w:r>
          </w:p>
        </w:tc>
      </w:tr>
      <w:tr>
        <w:tc>
          <w:tcPr>
            <w:tcW w:type="dxa" w:w="4853"/>
          </w:tcPr>
          <w:p>
            <w:r>
              <w:t>Arabic</w:t>
            </w:r>
          </w:p>
        </w:tc>
        <w:tc>
          <w:tcPr>
            <w:tcW w:type="dxa" w:w="4853"/>
          </w:tcPr>
          <w:p>
            <w:r>
              <w:t>تقلل اللغة الواضحة من التردد عندما يحتاج المستخدم إلى مشاركة معلومات حساسة.</w:t>
            </w:r>
          </w:p>
        </w:tc>
      </w:tr>
    </w:tbl>
    <w:p>
      <w:pPr>
        <w:pStyle w:val="Heading1"/>
      </w:pPr>
      <w:r>
        <w:t>Client-ready use</w:t>
      </w:r>
    </w:p>
    <w:p>
      <w:r>
        <w:t>This sample can be used to show how Scriptorium prepares service pages, onboarding notes, academic summaries and public-facing information with multilingual clarity.</w:t>
      </w:r>
    </w:p>
    <w:sectPr w:rsidR="00FC693F" w:rsidRPr="0006063C" w:rsidSect="00034616">
      <w:footerReference w:type="default" r:id="rId9"/>
      <w:pgSz w:w="12240" w:h="15840"/>
      <w:pgMar w:top="1181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2"/>
        <w:sz w:val="16"/>
      </w:rPr>
      <w:t>Scriptorium - professional sample, non-certified language and documentation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