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44"/>
          <w:sz w:val="48"/>
        </w:rPr>
        <w:t>Brand Voice and Transcreation Pack</w:t>
      </w:r>
    </w:p>
    <w:p>
      <w:pPr>
        <w:spacing w:after="240"/>
      </w:pPr>
      <w:r>
        <w:rPr>
          <w:rFonts w:ascii="Calibri" w:hAnsi="Calibri"/>
          <w:color w:val="5C6B72"/>
          <w:sz w:val="22"/>
        </w:rPr>
        <w:t>Original commercial sample for campaign language, naming and bilingual brand tone.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53"/>
          </w:tcPr>
          <w:p>
            <w:r>
              <w:t>Original brand-language and transcreation sample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Use</w:t>
            </w:r>
          </w:p>
        </w:tc>
        <w:tc>
          <w:tcPr>
            <w:tcW w:type="dxa" w:w="4853"/>
          </w:tcPr>
          <w:p>
            <w:r>
              <w:t>Campaigns, naming checks, social posts, product copy and brand voice systems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Commercial status</w:t>
            </w:r>
          </w:p>
        </w:tc>
        <w:tc>
          <w:tcPr>
            <w:tcW w:type="dxa" w:w="4853"/>
          </w:tcPr>
          <w:p>
            <w:r>
              <w:t>Quote-only; creative language work varies by scope and revision rounds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853"/>
          </w:tcPr>
          <w:p>
            <w:r>
              <w:t>Spanish and English base; additional target languages by quote.</w:t>
            </w:r>
          </w:p>
        </w:tc>
      </w:tr>
    </w:tbl>
    <w:p/>
    <w:p>
      <w:pPr>
        <w:pStyle w:val="Heading1"/>
      </w:pPr>
      <w:r>
        <w:t>Brand premise</w:t>
      </w:r>
    </w:p>
    <w:p>
      <w:r>
        <w:t>A boutique learning platform wants a bilingual tone that feels precise, warm and trustworthy. The brand should avoid generic motivational phrases and instead use language that suggests clarity, discipline and calm progress.</w:t>
      </w:r>
    </w:p>
    <w:p>
      <w:pPr>
        <w:pStyle w:val="Heading1"/>
      </w:pPr>
      <w:r>
        <w:t>Voice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3235"/>
          </w:tcPr>
          <w:p>
            <w:r>
              <w:rPr>
                <w:b/>
              </w:rPr>
              <w:t>Use</w:t>
            </w:r>
          </w:p>
        </w:tc>
        <w:tc>
          <w:tcPr>
            <w:tcW w:type="dxa" w:w="3235"/>
          </w:tcPr>
          <w:p>
            <w:r>
              <w:rPr>
                <w:b/>
              </w:rPr>
              <w:t>Avoid</w:t>
            </w:r>
          </w:p>
        </w:tc>
      </w:tr>
      <w:tr>
        <w:tc>
          <w:tcPr>
            <w:tcW w:type="dxa" w:w="3235"/>
          </w:tcPr>
          <w:p>
            <w:r>
              <w:t>Precise</w:t>
            </w:r>
          </w:p>
        </w:tc>
        <w:tc>
          <w:tcPr>
            <w:tcW w:type="dxa" w:w="3235"/>
          </w:tcPr>
          <w:p>
            <w:r>
              <w:t>Short claims with concrete outcomes.</w:t>
            </w:r>
          </w:p>
        </w:tc>
        <w:tc>
          <w:tcPr>
            <w:tcW w:type="dxa" w:w="3235"/>
          </w:tcPr>
          <w:p>
            <w:r>
              <w:t>Vague excellence language.</w:t>
            </w:r>
          </w:p>
        </w:tc>
      </w:tr>
      <w:tr>
        <w:tc>
          <w:tcPr>
            <w:tcW w:type="dxa" w:w="3235"/>
          </w:tcPr>
          <w:p>
            <w:r>
              <w:t>Warm</w:t>
            </w:r>
          </w:p>
        </w:tc>
        <w:tc>
          <w:tcPr>
            <w:tcW w:type="dxa" w:w="3235"/>
          </w:tcPr>
          <w:p>
            <w:r>
              <w:t>Human, direct and respectful wording.</w:t>
            </w:r>
          </w:p>
        </w:tc>
        <w:tc>
          <w:tcPr>
            <w:tcW w:type="dxa" w:w="3235"/>
          </w:tcPr>
          <w:p>
            <w:r>
              <w:t>Overly casual slang.</w:t>
            </w:r>
          </w:p>
        </w:tc>
      </w:tr>
      <w:tr>
        <w:tc>
          <w:tcPr>
            <w:tcW w:type="dxa" w:w="3235"/>
          </w:tcPr>
          <w:p>
            <w:r>
              <w:t>Quietly premium</w:t>
            </w:r>
          </w:p>
        </w:tc>
        <w:tc>
          <w:tcPr>
            <w:tcW w:type="dxa" w:w="3235"/>
          </w:tcPr>
          <w:p>
            <w:r>
              <w:t>Measured confidence and clean structure.</w:t>
            </w:r>
          </w:p>
        </w:tc>
        <w:tc>
          <w:tcPr>
            <w:tcW w:type="dxa" w:w="3235"/>
          </w:tcPr>
          <w:p>
            <w:r>
              <w:t>Luxury cliches or inflated promises.</w:t>
            </w:r>
          </w:p>
        </w:tc>
      </w:tr>
      <w:tr>
        <w:tc>
          <w:tcPr>
            <w:tcW w:type="dxa" w:w="3235"/>
          </w:tcPr>
          <w:p>
            <w:r>
              <w:t>Useful</w:t>
            </w:r>
          </w:p>
        </w:tc>
        <w:tc>
          <w:tcPr>
            <w:tcW w:type="dxa" w:w="3235"/>
          </w:tcPr>
          <w:p>
            <w:r>
              <w:t>Copy that helps the reader decide.</w:t>
            </w:r>
          </w:p>
        </w:tc>
        <w:tc>
          <w:tcPr>
            <w:tcW w:type="dxa" w:w="3235"/>
          </w:tcPr>
          <w:p>
            <w:r>
              <w:t>Decorative phrases without action.</w:t>
            </w:r>
          </w:p>
        </w:tc>
      </w:tr>
    </w:tbl>
    <w:p>
      <w:pPr>
        <w:pStyle w:val="Heading1"/>
      </w:pPr>
      <w:r>
        <w:t>Transcreation samples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3235"/>
          </w:tcPr>
          <w:p>
            <w:r>
              <w:rPr>
                <w:b/>
              </w:rPr>
              <w:t>English option</w:t>
            </w:r>
          </w:p>
        </w:tc>
        <w:tc>
          <w:tcPr>
            <w:tcW w:type="dxa" w:w="3235"/>
          </w:tcPr>
          <w:p>
            <w:r>
              <w:rPr>
                <w:b/>
              </w:rPr>
              <w:t>Spanish option</w:t>
            </w:r>
          </w:p>
        </w:tc>
      </w:tr>
      <w:tr>
        <w:tc>
          <w:tcPr>
            <w:tcW w:type="dxa" w:w="3235"/>
          </w:tcPr>
          <w:p>
            <w:r>
              <w:t>Primary tagline</w:t>
            </w:r>
          </w:p>
        </w:tc>
        <w:tc>
          <w:tcPr>
            <w:tcW w:type="dxa" w:w="3235"/>
          </w:tcPr>
          <w:p>
            <w:r>
              <w:t>Precision across languages.</w:t>
            </w:r>
          </w:p>
        </w:tc>
        <w:tc>
          <w:tcPr>
            <w:tcW w:type="dxa" w:w="3235"/>
          </w:tcPr>
          <w:p>
            <w:r>
              <w:t>Precisión entre idiomas.</w:t>
            </w:r>
          </w:p>
        </w:tc>
      </w:tr>
      <w:tr>
        <w:tc>
          <w:tcPr>
            <w:tcW w:type="dxa" w:w="3235"/>
          </w:tcPr>
          <w:p>
            <w:r>
              <w:t>CTA</w:t>
            </w:r>
          </w:p>
        </w:tc>
        <w:tc>
          <w:tcPr>
            <w:tcW w:type="dxa" w:w="3235"/>
          </w:tcPr>
          <w:p>
            <w:r>
              <w:t>Send the scope.</w:t>
            </w:r>
          </w:p>
        </w:tc>
        <w:tc>
          <w:tcPr>
            <w:tcW w:type="dxa" w:w="3235"/>
          </w:tcPr>
          <w:p>
            <w:r>
              <w:t>Enviar el alcance.</w:t>
            </w:r>
          </w:p>
        </w:tc>
      </w:tr>
      <w:tr>
        <w:tc>
          <w:tcPr>
            <w:tcW w:type="dxa" w:w="3235"/>
          </w:tcPr>
          <w:p>
            <w:r>
              <w:t>Trust line</w:t>
            </w:r>
          </w:p>
        </w:tc>
        <w:tc>
          <w:tcPr>
            <w:tcW w:type="dxa" w:w="3235"/>
          </w:tcPr>
          <w:p>
            <w:r>
              <w:t>Clear terms before work begins.</w:t>
            </w:r>
          </w:p>
        </w:tc>
        <w:tc>
          <w:tcPr>
            <w:tcW w:type="dxa" w:w="3235"/>
          </w:tcPr>
          <w:p>
            <w:r>
              <w:t>Condiciones claras antes de iniciar.</w:t>
            </w:r>
          </w:p>
        </w:tc>
      </w:tr>
      <w:tr>
        <w:tc>
          <w:tcPr>
            <w:tcW w:type="dxa" w:w="3235"/>
          </w:tcPr>
          <w:p>
            <w:r>
              <w:t>Campaign line</w:t>
            </w:r>
          </w:p>
        </w:tc>
        <w:tc>
          <w:tcPr>
            <w:tcW w:type="dxa" w:w="3235"/>
          </w:tcPr>
          <w:p>
            <w:r>
              <w:t>Make your text travel without losing its voice.</w:t>
            </w:r>
          </w:p>
        </w:tc>
        <w:tc>
          <w:tcPr>
            <w:tcW w:type="dxa" w:w="3235"/>
          </w:tcPr>
          <w:p>
            <w:r>
              <w:t>Haz que tu texto viaje sin perder su voz.</w:t>
            </w:r>
          </w:p>
        </w:tc>
      </w:tr>
    </w:tbl>
    <w:p>
      <w:pPr>
        <w:pStyle w:val="Heading1"/>
      </w:pPr>
      <w:r>
        <w:t>Quote variables</w:t>
      </w:r>
    </w:p>
    <w:p>
      <w:pPr>
        <w:pStyle w:val="ListBullet"/>
      </w:pPr>
      <w:r>
        <w:t>Number of naming or tagline options requested.</w:t>
      </w:r>
    </w:p>
    <w:p>
      <w:pPr>
        <w:pStyle w:val="ListBullet"/>
      </w:pPr>
      <w:r>
        <w:t>Languages and markets to compare.</w:t>
      </w:r>
    </w:p>
    <w:p>
      <w:pPr>
        <w:pStyle w:val="ListBullet"/>
      </w:pPr>
      <w:r>
        <w:t>Revision rounds and tone exploration depth.</w:t>
      </w:r>
    </w:p>
    <w:p>
      <w:pPr>
        <w:pStyle w:val="ListBullet"/>
      </w:pPr>
      <w:r>
        <w:t>Whether the project includes glossary, rationale or presentation deck notes.</w:t>
      </w:r>
    </w:p>
    <w:sectPr w:rsidR="00FC693F" w:rsidRPr="0006063C" w:rsidSect="00034616">
      <w:footerReference w:type="default" r:id="rId9"/>
      <w:pgSz w:w="12240" w:h="15840"/>
      <w:pgMar w:top="1181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2"/>
        <w:sz w:val="16"/>
      </w:rPr>
      <w:t>Scriptorium - professional sample, non-certified language and documentation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