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A44"/>
          <w:sz w:val="48"/>
        </w:rPr>
        <w:t>Website and App Localization Pack</w:t>
      </w:r>
    </w:p>
    <w:p>
      <w:pPr>
        <w:spacing w:after="240"/>
      </w:pPr>
      <w:r>
        <w:rPr>
          <w:rFonts w:ascii="Calibri" w:hAnsi="Calibri"/>
          <w:color w:val="5C6B72"/>
          <w:sz w:val="22"/>
        </w:rPr>
        <w:t>Original commercial sample for landing pages, app screens and UX microcopy.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853"/>
          </w:tcPr>
          <w:p>
            <w:r>
              <w:t>Original localization and UX writing sample</w:t>
            </w:r>
          </w:p>
        </w:tc>
      </w:tr>
      <w:tr>
        <w:tc>
          <w:tcPr>
            <w:tcW w:type="dxa" w:w="4853"/>
          </w:tcPr>
          <w:p>
            <w:r>
              <w:rPr>
                <w:b/>
              </w:rPr>
              <w:t>Use</w:t>
            </w:r>
          </w:p>
        </w:tc>
        <w:tc>
          <w:tcPr>
            <w:tcW w:type="dxa" w:w="4853"/>
          </w:tcPr>
          <w:p>
            <w:r>
              <w:t>Websites, apps, e-commerce pages and product onboarding</w:t>
            </w:r>
          </w:p>
        </w:tc>
      </w:tr>
      <w:tr>
        <w:tc>
          <w:tcPr>
            <w:tcW w:type="dxa" w:w="4853"/>
          </w:tcPr>
          <w:p>
            <w:r>
              <w:rPr>
                <w:b/>
              </w:rPr>
              <w:t>Commercial status</w:t>
            </w:r>
          </w:p>
        </w:tc>
        <w:tc>
          <w:tcPr>
            <w:tcW w:type="dxa" w:w="4853"/>
          </w:tcPr>
          <w:p>
            <w:r>
              <w:t>Quote-only localization work; pricing depends on screens, strings and context</w:t>
            </w:r>
          </w:p>
        </w:tc>
      </w:tr>
      <w:tr>
        <w:tc>
          <w:tcPr>
            <w:tcW w:type="dxa" w:w="4853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4853"/>
          </w:tcPr>
          <w:p>
            <w:r>
              <w:t>Spanish, English, German, French, Portuguese, Italian, Russian, Czech, Chinese, Japanese, Hebrew and Arabic; historical samples in Latin, Ancient Greek, Classical Arabic, Sanskrit and Old Norse.</w:t>
            </w:r>
          </w:p>
        </w:tc>
      </w:tr>
    </w:tbl>
    <w:p/>
    <w:p>
      <w:pPr>
        <w:pStyle w:val="Heading1"/>
      </w:pPr>
      <w:r>
        <w:t>Project scenario</w:t>
      </w:r>
    </w:p>
    <w:p>
      <w:r>
        <w:t>A small digital product needs to adapt its homepage, signup flow and help-center copy for international users. The goal is not literal translation, but a version that feels natural, clear and action-oriented in the target language.</w:t>
      </w:r>
    </w:p>
    <w:p>
      <w:pPr>
        <w:pStyle w:val="Heading1"/>
      </w:pPr>
      <w:r>
        <w:t>Source and localized copy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235"/>
          </w:tcPr>
          <w:p>
            <w:r>
              <w:rPr>
                <w:b/>
              </w:rPr>
              <w:t>English source</w:t>
            </w:r>
          </w:p>
        </w:tc>
        <w:tc>
          <w:tcPr>
            <w:tcW w:type="dxa" w:w="3235"/>
          </w:tcPr>
          <w:p>
            <w:r>
              <w:rPr>
                <w:b/>
              </w:rPr>
              <w:t>Spanish localization note</w:t>
            </w:r>
          </w:p>
        </w:tc>
      </w:tr>
      <w:tr>
        <w:tc>
          <w:tcPr>
            <w:tcW w:type="dxa" w:w="3235"/>
          </w:tcPr>
          <w:p>
            <w:r>
              <w:t>Hero headline</w:t>
            </w:r>
          </w:p>
        </w:tc>
        <w:tc>
          <w:tcPr>
            <w:tcW w:type="dxa" w:w="3235"/>
          </w:tcPr>
          <w:p>
            <w:r>
              <w:t>Manage every document in one calm workspace.</w:t>
            </w:r>
          </w:p>
        </w:tc>
        <w:tc>
          <w:tcPr>
            <w:tcW w:type="dxa" w:w="3235"/>
          </w:tcPr>
          <w:p>
            <w:r>
              <w:t>Gestiona cada documento en un espacio claro y ordenado. Avoids overpromising productivity.</w:t>
            </w:r>
          </w:p>
        </w:tc>
      </w:tr>
      <w:tr>
        <w:tc>
          <w:tcPr>
            <w:tcW w:type="dxa" w:w="3235"/>
          </w:tcPr>
          <w:p>
            <w:r>
              <w:t>CTA</w:t>
            </w:r>
          </w:p>
        </w:tc>
        <w:tc>
          <w:tcPr>
            <w:tcW w:type="dxa" w:w="3235"/>
          </w:tcPr>
          <w:p>
            <w:r>
              <w:t>Start your project</w:t>
            </w:r>
          </w:p>
        </w:tc>
        <w:tc>
          <w:tcPr>
            <w:tcW w:type="dxa" w:w="3235"/>
          </w:tcPr>
          <w:p>
            <w:r>
              <w:t>Iniciar mi proyecto. Keeps action personal and direct.</w:t>
            </w:r>
          </w:p>
        </w:tc>
      </w:tr>
      <w:tr>
        <w:tc>
          <w:tcPr>
            <w:tcW w:type="dxa" w:w="3235"/>
          </w:tcPr>
          <w:p>
            <w:r>
              <w:t>Empty state</w:t>
            </w:r>
          </w:p>
        </w:tc>
        <w:tc>
          <w:tcPr>
            <w:tcW w:type="dxa" w:w="3235"/>
          </w:tcPr>
          <w:p>
            <w:r>
              <w:t>No files yet. Upload your first document to continue.</w:t>
            </w:r>
          </w:p>
        </w:tc>
        <w:tc>
          <w:tcPr>
            <w:tcW w:type="dxa" w:w="3235"/>
          </w:tcPr>
          <w:p>
            <w:r>
              <w:t>Aún no hay archivos. Sube tu primer documento para continuar.</w:t>
            </w:r>
          </w:p>
        </w:tc>
      </w:tr>
      <w:tr>
        <w:tc>
          <w:tcPr>
            <w:tcW w:type="dxa" w:w="3235"/>
          </w:tcPr>
          <w:p>
            <w:r>
              <w:t>Trust note</w:t>
            </w:r>
          </w:p>
        </w:tc>
        <w:tc>
          <w:tcPr>
            <w:tcW w:type="dxa" w:w="3235"/>
          </w:tcPr>
          <w:p>
            <w:r>
              <w:t>Your files remain private until you choose to share them.</w:t>
            </w:r>
          </w:p>
        </w:tc>
        <w:tc>
          <w:tcPr>
            <w:tcW w:type="dxa" w:w="3235"/>
          </w:tcPr>
          <w:p>
            <w:r>
              <w:t>Tus archivos se mantienen privados hasta que decidas compartirlos.</w:t>
            </w:r>
          </w:p>
        </w:tc>
      </w:tr>
      <w:tr>
        <w:tc>
          <w:tcPr>
            <w:tcW w:type="dxa" w:w="3235"/>
          </w:tcPr>
          <w:p>
            <w:r>
              <w:t>Help link</w:t>
            </w:r>
          </w:p>
        </w:tc>
        <w:tc>
          <w:tcPr>
            <w:tcW w:type="dxa" w:w="3235"/>
          </w:tcPr>
          <w:p>
            <w:r>
              <w:t>Need a reviewed translation?</w:t>
            </w:r>
          </w:p>
        </w:tc>
        <w:tc>
          <w:tcPr>
            <w:tcW w:type="dxa" w:w="3235"/>
          </w:tcPr>
          <w:p>
            <w:r>
              <w:t>¿Necesitas una traducción revisada?</w:t>
            </w:r>
          </w:p>
        </w:tc>
      </w:tr>
    </w:tbl>
    <w:p>
      <w:pPr>
        <w:pStyle w:val="Heading1"/>
      </w:pPr>
      <w:r>
        <w:t>Localization checklist</w:t>
      </w:r>
    </w:p>
    <w:p>
      <w:pPr>
        <w:pStyle w:val="ListBullet"/>
      </w:pPr>
      <w:r>
        <w:t>Confirm product audience, market and tone before translating.</w:t>
      </w:r>
    </w:p>
    <w:p>
      <w:pPr>
        <w:pStyle w:val="ListBullet"/>
      </w:pPr>
      <w:r>
        <w:t>Separate UI strings, SEO copy and legal/safety text.</w:t>
      </w:r>
    </w:p>
    <w:p>
      <w:pPr>
        <w:pStyle w:val="ListBullet"/>
      </w:pPr>
      <w:r>
        <w:t>Preserve button length and mobile layout constraints.</w:t>
      </w:r>
    </w:p>
    <w:p>
      <w:pPr>
        <w:pStyle w:val="ListBullet"/>
      </w:pPr>
      <w:r>
        <w:t>Flag phrases that need cultural adaptation instead of literal rendering.</w:t>
      </w:r>
    </w:p>
    <w:p>
      <w:pPr>
        <w:pStyle w:val="Heading1"/>
      </w:pPr>
      <w:r>
        <w:t>Quote variables</w:t>
      </w:r>
    </w:p>
    <w:p>
      <w:r>
        <w:t>This type of project is quoted by number of screens, source word count, context availability, SEO requirements and revision depth.</w:t>
      </w:r>
    </w:p>
    <w:sectPr w:rsidR="00FC693F" w:rsidRPr="0006063C" w:rsidSect="00034616">
      <w:footerReference w:type="default" r:id="rId9"/>
      <w:pgSz w:w="12240" w:h="15840"/>
      <w:pgMar w:top="1181" w:right="1267" w:bottom="1080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72"/>
        <w:sz w:val="16"/>
      </w:rPr>
      <w:t>Scriptorium - professional sample, non-certified language and documentation 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76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76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