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2026-10-05</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git_sha=0efa603d6fce982384e60585fcf7c8781a77e82f</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los supuestos de los que depende la provisión, sus cifras clave, qué revisar, las decisiones humanas con su motivo y dónde queda cada archivo. Una provisión no tiene veredicto técnico del motor: el juicio sobre ella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Cartera, Curva de PD y Provisión IFRS 9; este informe es la última etapa de la corrida</w:t>
            </w:r>
          </w:p>
        </w:tc>
      </w:tr>
    </w:tbl>
    <w:p>
      <w:r>
        <w:rPr>
          <w:b/>
          <w:sz w:val="18"/>
        </w:rPr>
        <w:t>Supuestos</w:t>
      </w:r>
    </w:p>
    <w:p>
      <w:pPr>
        <w:pStyle w:val="ListBullet"/>
      </w:pPr>
      <w:r>
        <w:t>La PD es a lo largo del ciclo (TTC): no se ajusta a las condiciones actuales ni a escenarios macroeconómicos</w:t>
      </w:r>
    </w:p>
    <w:p>
      <w:pPr>
        <w:pStyle w:val="ListBullet"/>
      </w:pPr>
      <w:r>
        <w:t>Un escenario único, sin ponderación macroeconómica</w:t>
      </w:r>
    </w:p>
    <w:p>
      <w:pPr>
        <w:pStyle w:val="ListBullet"/>
      </w:pPr>
      <w:r>
        <w:t>La curva de PD se ajusta a la historia de incumplimientos de la propia cartera, con 4 covariables</w:t>
      </w:r>
    </w:p>
    <w:p>
      <w:pPr>
        <w:pStyle w:val="ListBullet"/>
      </w:pPr>
      <w:r>
        <w:t>Los 12 meses del Stage 1 son el primer período de la curva (1 año)</w:t>
      </w:r>
    </w:p>
    <w:p>
      <w:pPr>
        <w:pStyle w:val="ListBullet"/>
      </w:pPr>
      <w:r>
        <w:t>Stage 2 desde 30 días de mora y Stage 3 desde 90: las presunciones de IFRS 9 (5.5.11 y B5.5.37)</w:t>
      </w:r>
    </w:p>
    <w:p>
      <w:pPr>
        <w:pStyle w:val="ListBullet"/>
      </w:pPr>
      <w:r>
        <w:t>La exposición (EAD) se proyectó constante a lo largo de la vida de cada operación, porque el dataset no trae un perfil de exposición por período: si la cartera amortiza, la ECL de por vida queda sobrestimada</w:t>
      </w:r>
    </w:p>
    <w:p>
      <w:pPr>
        <w:pStyle w:val="ListBullet"/>
      </w:pPr>
      <w:r>
        <w:t>La LGD es la del archivo de cartera, la misma en cada período</w:t>
      </w:r>
    </w:p>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ECL total</w:t>
            </w:r>
          </w:p>
        </w:tc>
        <w:tc>
          <w:tcPr>
            <w:tcW w:type="dxa" w:w="4320"/>
          </w:tcPr>
          <w:p>
            <w:r>
              <w:t>3.423.116</w:t>
            </w:r>
          </w:p>
        </w:tc>
      </w:tr>
      <w:tr>
        <w:tc>
          <w:tcPr>
            <w:tcW w:type="dxa" w:w="4320"/>
          </w:tcPr>
          <w:p>
            <w:r>
              <w:t>Cobertura (ECL sobre la exposición)</w:t>
            </w:r>
          </w:p>
        </w:tc>
        <w:tc>
          <w:tcPr>
            <w:tcW w:type="dxa" w:w="4320"/>
          </w:tcPr>
          <w:p>
            <w:r>
              <w:t>2,99 %</w:t>
            </w:r>
          </w:p>
        </w:tc>
      </w:tr>
      <w:tr>
        <w:tc>
          <w:tcPr>
            <w:tcW w:type="dxa" w:w="4320"/>
          </w:tcPr>
          <w:p>
            <w:r>
              <w:t>Exposición en Stage 2 y 3</w:t>
            </w:r>
          </w:p>
        </w:tc>
        <w:tc>
          <w:tcPr>
            <w:tcW w:type="dxa" w:w="4320"/>
          </w:tcPr>
          <w:p>
            <w:r>
              <w:t>12,96 %</w:t>
            </w:r>
          </w:p>
        </w:tc>
      </w:tr>
      <w:tr>
        <w:tc>
          <w:tcPr>
            <w:tcW w:type="dxa" w:w="4320"/>
          </w:tcPr>
          <w:p>
            <w:r>
              <w:t>ECL de Stage 2 y 3</w:t>
            </w:r>
          </w:p>
        </w:tc>
        <w:tc>
          <w:tcPr>
            <w:tcW w:type="dxa" w:w="4320"/>
          </w:tcPr>
          <w:p>
            <w:r>
              <w:t>54,09 %</w:t>
            </w:r>
          </w:p>
        </w:tc>
      </w:tr>
      <w:tr>
        <w:tc>
          <w:tcPr>
            <w:tcW w:type="dxa" w:w="4320"/>
          </w:tcPr>
          <w:p>
            <w:r>
              <w:t>PD a 12 meses media, ponderada por la exposición</w:t>
            </w:r>
          </w:p>
        </w:tc>
        <w:tc>
          <w:tcPr>
            <w:tcW w:type="dxa" w:w="4320"/>
          </w:tcPr>
          <w:p>
            <w:r>
              <w:t>6,31 %</w:t>
            </w:r>
          </w:p>
        </w:tc>
      </w:tr>
    </w:tbl>
    <w:p>
      <w:r>
        <w:rPr>
          <w:b/>
          <w:sz w:val="18"/>
        </w:rPr>
        <w:t>Qué revisar</w:t>
      </w:r>
    </w:p>
    <w:p>
      <w:pPr>
        <w:pStyle w:val="ListBullet"/>
      </w:pPr>
      <w:r>
        <w:t>⚠ Provisión IFRS 9: La provisión usa la PD a lo largo del ciclo (TTC), sin ajuste a las condiciones actuales ni a escenarios macroeconómicos: IFRS 9 (5.5.17) pide considerar información razonable sobre el presente y el futuro</w:t>
      </w:r>
    </w:p>
    <w:p>
      <w:pPr>
        <w:pStyle w:val="ListBullet"/>
      </w:pPr>
      <w:r>
        <w:t>⚠ Provisión IFRS 9: El aumento significativo del riesgo se detecta sólo por la mora y la marca de incumplimiento: la corrida no trae PD de origen, rating ni decisión cualitativa con que compararlo</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/home/runner/work/bayesrisk/bayesrisk/.bayesrisk-demo-fixtures-f4/reports/ifrs9_ecl_report.html</w:t>
            </w:r>
          </w:p>
        </w:tc>
      </w:tr>
      <w:tr>
        <w:tc>
          <w:tcPr>
            <w:tcW w:type="dxa" w:w="4320"/>
          </w:tcPr>
          <w:p>
            <w:r>
              <w:rPr>
                <w:b/>
              </w:rPr>
              <w:t>Informe PDF</w:t>
            </w:r>
          </w:p>
        </w:tc>
        <w:tc>
          <w:tcPr>
            <w:tcW w:type="dxa" w:w="4320"/>
          </w:tcPr>
          <w:p>
            <w:r>
              <w:t>/home/runner/work/bayesrisk/bayesrisk/.bayesrisk-demo-fixtures-f4/reports/ifrs9_ecl_report.pdf (se escribe si el extra pdf está instalado)</w:t>
            </w:r>
          </w:p>
        </w:tc>
      </w:tr>
      <w:tr>
        <w:tc>
          <w:tcPr>
            <w:tcW w:type="dxa" w:w="4320"/>
          </w:tcPr>
          <w:p>
            <w:r>
              <w:rPr>
                <w:b/>
              </w:rPr>
              <w:t>Informe Word</w:t>
            </w:r>
          </w:p>
        </w:tc>
        <w:tc>
          <w:tcPr>
            <w:tcW w:type="dxa" w:w="4320"/>
          </w:tcPr>
          <w:p>
            <w:r>
              <w:t>/home/runner/work/bayesrisk/bayesrisk/.bayesrisk-demo-fixtures-f4/reports/ifrs9_ecl_report.docx (se escribe si el extra docx está instalado)</w:t>
            </w:r>
          </w:p>
        </w:tc>
      </w:tr>
      <w:tr>
        <w:tc>
          <w:tcPr>
            <w:tcW w:type="dxa" w:w="4320"/>
          </w:tcPr>
          <w:p>
            <w:r>
              <w:rPr>
                <w:b/>
              </w:rPr>
              <w:t>Fuente editable (Quarto)</w:t>
            </w:r>
          </w:p>
        </w:tc>
        <w:tc>
          <w:tcPr>
            <w:tcW w:type="dxa" w:w="4320"/>
          </w:tcPr>
          <w:p>
            <w:r>
              <w:t>/home/runner/work/bayesrisk/bayesrisk/.bayesrisk-demo-fixtures-f4/reports/ifrs9_ecl_report.qmd</w:t>
            </w:r>
          </w:p>
        </w:tc>
      </w:tr>
      <w:tr>
        <w:tc>
          <w:tcPr>
            <w:tcW w:type="dxa" w:w="4320"/>
          </w:tcPr>
          <w:p>
            <w:r>
              <w:rPr>
                <w:b/>
              </w:rPr>
              <w:t>Registro de auditoría</w:t>
            </w:r>
          </w:p>
        </w:tc>
        <w:tc>
          <w:tcPr>
            <w:tcW w:type="dxa" w:w="4320"/>
          </w:tcPr>
          <w:p>
            <w:r>
              <w:t>en la ruta que fija la sección audit del config</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5.422</w:t>
            </w:r>
          </w:p>
        </w:tc>
      </w:tr>
      <w:tr>
        <w:tc>
          <w:tcPr>
            <w:tcW w:type="dxa" w:w="4320"/>
          </w:tcPr>
          <w:p>
            <w:r>
              <w:t>malo</w:t>
            </w:r>
          </w:p>
        </w:tc>
        <w:tc>
          <w:tcPr>
            <w:tcW w:type="dxa" w:w="4320"/>
          </w:tcPr>
          <w:p>
            <w:pPr>
              <w:jc w:val="right"/>
            </w:pPr>
            <w:r>
              <w:t>578</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4.024</w:t>
            </w:r>
          </w:p>
        </w:tc>
        <w:tc>
          <w:tcPr>
            <w:tcW w:type="dxa" w:w="2880"/>
          </w:tcPr>
          <w:p>
            <w:pPr>
              <w:jc w:val="right"/>
            </w:pPr>
            <w:r>
              <w:t>0,0964</w:t>
            </w:r>
          </w:p>
        </w:tc>
      </w:tr>
      <w:tr>
        <w:tc>
          <w:tcPr>
            <w:tcW w:type="dxa" w:w="2880"/>
          </w:tcPr>
          <w:p>
            <w:r>
              <w:t>Holdout</w:t>
            </w:r>
          </w:p>
        </w:tc>
        <w:tc>
          <w:tcPr>
            <w:tcW w:type="dxa" w:w="2880"/>
          </w:tcPr>
          <w:p>
            <w:pPr>
              <w:jc w:val="right"/>
            </w:pPr>
            <w:r>
              <w:t>1.030</w:t>
            </w:r>
          </w:p>
        </w:tc>
        <w:tc>
          <w:tcPr>
            <w:tcW w:type="dxa" w:w="2880"/>
          </w:tcPr>
          <w:p>
            <w:pPr>
              <w:jc w:val="right"/>
            </w:pPr>
            <w:r>
              <w:t>0,1000</w:t>
            </w:r>
          </w:p>
        </w:tc>
      </w:tr>
      <w:tr>
        <w:tc>
          <w:tcPr>
            <w:tcW w:type="dxa" w:w="2880"/>
          </w:tcPr>
          <w:p>
            <w:r>
              <w:t>Fuera de tiempo (OOT)</w:t>
            </w:r>
          </w:p>
        </w:tc>
        <w:tc>
          <w:tcPr>
            <w:tcW w:type="dxa" w:w="2880"/>
          </w:tcPr>
          <w:p>
            <w:pPr>
              <w:jc w:val="right"/>
            </w:pPr>
            <w:r>
              <w:t>946</w:t>
            </w:r>
          </w:p>
        </w:tc>
        <w:tc>
          <w:tcPr>
            <w:tcW w:type="dxa" w:w="2880"/>
          </w:tcPr>
          <w:p>
            <w:pPr>
              <w:jc w:val="right"/>
            </w:pPr>
            <w:r>
              <w:t>0,09197</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Supervivencia y curva PD lifetime</w:t>
      </w:r>
    </w:p>
    <w:p>
      <w:r>
        <w:t>La curva de PD de por vida que estimó el modelo de supervivencia sobre la historia de incumplimientos de la propia cartera.</w:t>
      </w:r>
    </w:p>
    <w:p>
      <w:r>
        <w:t>La primera tabla da la PD acumulada al cierre de cada período de la curva, como promedio simple de las operaciones de cada cartera y de toda la cartera: no pondera por exposición.</w:t>
      </w:r>
    </w:p>
    <w:p>
      <w:r>
        <w:t>La tabla de coeficientes da el ajuste: un coeficiente positivo sube la probabilidad de incumplir en cada período y uno negativo la baja; los términos de período son el nivel base de cada uno, y el error estándar y el p-valor dicen cuán distinguible de cero es cada efecto.</w:t>
      </w:r>
    </w:p>
    <w:p>
      <w:r>
        <w:t>La provisión de este capítulo parte de esta curva tal cual, a lo largo del ciclo.</w:t>
      </w:r>
    </w:p>
    <w:p>
      <w:r>
        <w:rPr>
          <w:b/>
          <w:sz w:val="18"/>
        </w:rPr>
        <w:t>PD acumulada por período y cartera (promedio de las operaciones)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right"/>
            </w:pPr>
            <w:r>
              <w:rPr>
                <w:b/>
              </w:rPr>
              <w:t>Período</w:t>
            </w:r>
          </w:p>
        </w:tc>
        <w:tc>
          <w:tcPr>
            <w:tcW w:type="dxa" w:w="1234"/>
          </w:tcPr>
          <w:p>
            <w:r>
              <w:rPr>
                <w:b/>
              </w:rPr>
              <w:t>Plazo</w:t>
            </w:r>
          </w:p>
        </w:tc>
        <w:tc>
          <w:tcPr>
            <w:tcW w:type="dxa" w:w="1234"/>
          </w:tcPr>
          <w:p>
            <w:pPr>
              <w:jc w:val="right"/>
            </w:pPr>
            <w:r>
              <w:rPr>
                <w:b/>
              </w:rPr>
              <w:t>Comercial</w:t>
            </w:r>
          </w:p>
        </w:tc>
        <w:tc>
          <w:tcPr>
            <w:tcW w:type="dxa" w:w="1234"/>
          </w:tcPr>
          <w:p>
            <w:pPr>
              <w:jc w:val="right"/>
            </w:pPr>
            <w:r>
              <w:rPr>
                <w:b/>
              </w:rPr>
              <w:t>Consumo</w:t>
            </w:r>
          </w:p>
        </w:tc>
        <w:tc>
          <w:tcPr>
            <w:tcW w:type="dxa" w:w="1234"/>
          </w:tcPr>
          <w:p>
            <w:pPr>
              <w:jc w:val="right"/>
            </w:pPr>
            <w:r>
              <w:rPr>
                <w:b/>
              </w:rPr>
              <w:t>Hipotecario</w:t>
            </w:r>
          </w:p>
        </w:tc>
        <w:tc>
          <w:tcPr>
            <w:tcW w:type="dxa" w:w="1234"/>
          </w:tcPr>
          <w:p>
            <w:pPr>
              <w:jc w:val="right"/>
            </w:pPr>
            <w:r>
              <w:rPr>
                <w:b/>
              </w:rPr>
              <w:t>Tarjetas</w:t>
            </w:r>
          </w:p>
        </w:tc>
        <w:tc>
          <w:tcPr>
            <w:tcW w:type="dxa" w:w="1234"/>
          </w:tcPr>
          <w:p>
            <w:pPr>
              <w:jc w:val="right"/>
            </w:pPr>
            <w:r>
              <w:rPr>
                <w:b/>
              </w:rPr>
              <w:t>Toda la cartera</w:t>
            </w:r>
          </w:p>
        </w:tc>
      </w:tr>
      <w:tr>
        <w:tc>
          <w:tcPr>
            <w:tcW w:type="dxa" w:w="1234"/>
          </w:tcPr>
          <w:p>
            <w:pPr>
              <w:jc w:val="right"/>
            </w:pPr>
            <w:r>
              <w:t>1</w:t>
            </w:r>
          </w:p>
        </w:tc>
        <w:tc>
          <w:tcPr>
            <w:tcW w:type="dxa" w:w="1234"/>
          </w:tcPr>
          <w:p>
            <w:r>
              <w:t>1 año</w:t>
            </w:r>
          </w:p>
        </w:tc>
        <w:tc>
          <w:tcPr>
            <w:tcW w:type="dxa" w:w="1234"/>
          </w:tcPr>
          <w:p>
            <w:pPr>
              <w:jc w:val="right"/>
            </w:pPr>
            <w:r>
              <w:t>0,0638</w:t>
            </w:r>
          </w:p>
        </w:tc>
        <w:tc>
          <w:tcPr>
            <w:tcW w:type="dxa" w:w="1234"/>
          </w:tcPr>
          <w:p>
            <w:pPr>
              <w:jc w:val="right"/>
            </w:pPr>
            <w:r>
              <w:t>0,0618</w:t>
            </w:r>
          </w:p>
        </w:tc>
        <w:tc>
          <w:tcPr>
            <w:tcW w:type="dxa" w:w="1234"/>
          </w:tcPr>
          <w:p>
            <w:pPr>
              <w:jc w:val="right"/>
            </w:pPr>
            <w:r>
              <w:t>0,0622</w:t>
            </w:r>
          </w:p>
        </w:tc>
        <w:tc>
          <w:tcPr>
            <w:tcW w:type="dxa" w:w="1234"/>
          </w:tcPr>
          <w:p>
            <w:pPr>
              <w:jc w:val="right"/>
            </w:pPr>
            <w:r>
              <w:t>0,0623</w:t>
            </w:r>
          </w:p>
        </w:tc>
        <w:tc>
          <w:tcPr>
            <w:tcW w:type="dxa" w:w="1234"/>
          </w:tcPr>
          <w:p>
            <w:pPr>
              <w:jc w:val="right"/>
            </w:pPr>
            <w:r>
              <w:t>0,0623</w:t>
            </w:r>
          </w:p>
        </w:tc>
      </w:tr>
      <w:tr>
        <w:tc>
          <w:tcPr>
            <w:tcW w:type="dxa" w:w="1234"/>
          </w:tcPr>
          <w:p>
            <w:pPr>
              <w:jc w:val="right"/>
            </w:pPr>
            <w:r>
              <w:t>2</w:t>
            </w:r>
          </w:p>
        </w:tc>
        <w:tc>
          <w:tcPr>
            <w:tcW w:type="dxa" w:w="1234"/>
          </w:tcPr>
          <w:p>
            <w:r>
              <w:t>2 años</w:t>
            </w:r>
          </w:p>
        </w:tc>
        <w:tc>
          <w:tcPr>
            <w:tcW w:type="dxa" w:w="1234"/>
          </w:tcPr>
          <w:p>
            <w:pPr>
              <w:jc w:val="right"/>
            </w:pPr>
            <w:r>
              <w:t>0,1216</w:t>
            </w:r>
          </w:p>
        </w:tc>
        <w:tc>
          <w:tcPr>
            <w:tcW w:type="dxa" w:w="1234"/>
          </w:tcPr>
          <w:p>
            <w:pPr>
              <w:jc w:val="right"/>
            </w:pPr>
            <w:r>
              <w:t>0,1179</w:t>
            </w:r>
          </w:p>
        </w:tc>
        <w:tc>
          <w:tcPr>
            <w:tcW w:type="dxa" w:w="1234"/>
          </w:tcPr>
          <w:p>
            <w:pPr>
              <w:jc w:val="right"/>
            </w:pPr>
            <w:r>
              <w:t>0,1184</w:t>
            </w:r>
          </w:p>
        </w:tc>
        <w:tc>
          <w:tcPr>
            <w:tcW w:type="dxa" w:w="1234"/>
          </w:tcPr>
          <w:p>
            <w:pPr>
              <w:jc w:val="right"/>
            </w:pPr>
            <w:r>
              <w:t>0,1189</w:t>
            </w:r>
          </w:p>
        </w:tc>
        <w:tc>
          <w:tcPr>
            <w:tcW w:type="dxa" w:w="1234"/>
          </w:tcPr>
          <w:p>
            <w:pPr>
              <w:jc w:val="right"/>
            </w:pPr>
            <w:r>
              <w:t>0,1188</w:t>
            </w:r>
          </w:p>
        </w:tc>
      </w:tr>
      <w:tr>
        <w:tc>
          <w:tcPr>
            <w:tcW w:type="dxa" w:w="1234"/>
          </w:tcPr>
          <w:p>
            <w:pPr>
              <w:jc w:val="right"/>
            </w:pPr>
            <w:r>
              <w:t>3</w:t>
            </w:r>
          </w:p>
        </w:tc>
        <w:tc>
          <w:tcPr>
            <w:tcW w:type="dxa" w:w="1234"/>
          </w:tcPr>
          <w:p>
            <w:r>
              <w:t>3 años</w:t>
            </w:r>
          </w:p>
        </w:tc>
        <w:tc>
          <w:tcPr>
            <w:tcW w:type="dxa" w:w="1234"/>
          </w:tcPr>
          <w:p>
            <w:pPr>
              <w:jc w:val="right"/>
            </w:pPr>
            <w:r>
              <w:t>0,1701</w:t>
            </w:r>
          </w:p>
        </w:tc>
        <w:tc>
          <w:tcPr>
            <w:tcW w:type="dxa" w:w="1234"/>
          </w:tcPr>
          <w:p>
            <w:pPr>
              <w:jc w:val="right"/>
            </w:pPr>
            <w:r>
              <w:t>0,1648</w:t>
            </w:r>
          </w:p>
        </w:tc>
        <w:tc>
          <w:tcPr>
            <w:tcW w:type="dxa" w:w="1234"/>
          </w:tcPr>
          <w:p>
            <w:pPr>
              <w:jc w:val="right"/>
            </w:pPr>
            <w:r>
              <w:t>0,1654</w:t>
            </w:r>
          </w:p>
        </w:tc>
        <w:tc>
          <w:tcPr>
            <w:tcW w:type="dxa" w:w="1234"/>
          </w:tcPr>
          <w:p>
            <w:pPr>
              <w:jc w:val="right"/>
            </w:pPr>
            <w:r>
              <w:t>0,1663</w:t>
            </w:r>
          </w:p>
        </w:tc>
        <w:tc>
          <w:tcPr>
            <w:tcW w:type="dxa" w:w="1234"/>
          </w:tcPr>
          <w:p>
            <w:pPr>
              <w:jc w:val="right"/>
            </w:pPr>
            <w:r>
              <w:t>0,1661</w:t>
            </w:r>
          </w:p>
        </w:tc>
      </w:tr>
      <w:tr>
        <w:tc>
          <w:tcPr>
            <w:tcW w:type="dxa" w:w="1234"/>
          </w:tcPr>
          <w:p>
            <w:pPr>
              <w:jc w:val="right"/>
            </w:pPr>
            <w:r>
              <w:t>4</w:t>
            </w:r>
          </w:p>
        </w:tc>
        <w:tc>
          <w:tcPr>
            <w:tcW w:type="dxa" w:w="1234"/>
          </w:tcPr>
          <w:p>
            <w:r>
              <w:t>4 años</w:t>
            </w:r>
          </w:p>
        </w:tc>
        <w:tc>
          <w:tcPr>
            <w:tcW w:type="dxa" w:w="1234"/>
          </w:tcPr>
          <w:p>
            <w:pPr>
              <w:jc w:val="right"/>
            </w:pPr>
            <w:r>
              <w:t>0,2158</w:t>
            </w:r>
          </w:p>
        </w:tc>
        <w:tc>
          <w:tcPr>
            <w:tcW w:type="dxa" w:w="1234"/>
          </w:tcPr>
          <w:p>
            <w:pPr>
              <w:jc w:val="right"/>
            </w:pPr>
            <w:r>
              <w:t>0,2093</w:t>
            </w:r>
          </w:p>
        </w:tc>
        <w:tc>
          <w:tcPr>
            <w:tcW w:type="dxa" w:w="1234"/>
          </w:tcPr>
          <w:p>
            <w:pPr>
              <w:jc w:val="right"/>
            </w:pPr>
            <w:r>
              <w:t>0,2099</w:t>
            </w:r>
          </w:p>
        </w:tc>
        <w:tc>
          <w:tcPr>
            <w:tcW w:type="dxa" w:w="1234"/>
          </w:tcPr>
          <w:p>
            <w:pPr>
              <w:jc w:val="right"/>
            </w:pPr>
            <w:r>
              <w:t>0,2112</w:t>
            </w:r>
          </w:p>
        </w:tc>
        <w:tc>
          <w:tcPr>
            <w:tcW w:type="dxa" w:w="1234"/>
          </w:tcPr>
          <w:p>
            <w:pPr>
              <w:jc w:val="right"/>
            </w:pPr>
            <w:r>
              <w:t>0,2109</w:t>
            </w:r>
          </w:p>
        </w:tc>
      </w:tr>
      <w:tr>
        <w:tc>
          <w:tcPr>
            <w:tcW w:type="dxa" w:w="1234"/>
          </w:tcPr>
          <w:p>
            <w:pPr>
              <w:jc w:val="right"/>
            </w:pPr>
            <w:r>
              <w:t>5</w:t>
            </w:r>
          </w:p>
        </w:tc>
        <w:tc>
          <w:tcPr>
            <w:tcW w:type="dxa" w:w="1234"/>
          </w:tcPr>
          <w:p>
            <w:r>
              <w:t>5 años</w:t>
            </w:r>
          </w:p>
        </w:tc>
        <w:tc>
          <w:tcPr>
            <w:tcW w:type="dxa" w:w="1234"/>
          </w:tcPr>
          <w:p>
            <w:pPr>
              <w:jc w:val="right"/>
            </w:pPr>
            <w:r>
              <w:t>0,2553</w:t>
            </w:r>
          </w:p>
        </w:tc>
        <w:tc>
          <w:tcPr>
            <w:tcW w:type="dxa" w:w="1234"/>
          </w:tcPr>
          <w:p>
            <w:pPr>
              <w:jc w:val="right"/>
            </w:pPr>
            <w:r>
              <w:t>0,2478</w:t>
            </w:r>
          </w:p>
        </w:tc>
        <w:tc>
          <w:tcPr>
            <w:tcW w:type="dxa" w:w="1234"/>
          </w:tcPr>
          <w:p>
            <w:pPr>
              <w:jc w:val="right"/>
            </w:pPr>
            <w:r>
              <w:t>0,2484</w:t>
            </w:r>
          </w:p>
        </w:tc>
        <w:tc>
          <w:tcPr>
            <w:tcW w:type="dxa" w:w="1234"/>
          </w:tcPr>
          <w:p>
            <w:pPr>
              <w:jc w:val="right"/>
            </w:pPr>
            <w:r>
              <w:t>0,2501</w:t>
            </w:r>
          </w:p>
        </w:tc>
        <w:tc>
          <w:tcPr>
            <w:tcW w:type="dxa" w:w="1234"/>
          </w:tcPr>
          <w:p>
            <w:pPr>
              <w:jc w:val="right"/>
            </w:pPr>
            <w:r>
              <w:t>0,2497</w:t>
            </w:r>
          </w:p>
        </w:tc>
      </w:tr>
    </w:tbl>
    <w:p>
      <w:r>
        <w:rPr>
          <w:b/>
          <w:sz w:val="18"/>
        </w:rPr>
        <w:t>Coeficientes de la curva de PD (supervivencia)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term</w:t>
            </w:r>
          </w:p>
        </w:tc>
        <w:tc>
          <w:tcPr>
            <w:tcW w:type="dxa" w:w="2160"/>
          </w:tcPr>
          <w:p>
            <w:pPr>
              <w:jc w:val="right"/>
            </w:pPr>
            <w:r>
              <w:rPr>
                <w:b/>
              </w:rPr>
              <w:t>coef</w:t>
            </w:r>
          </w:p>
        </w:tc>
        <w:tc>
          <w:tcPr>
            <w:tcW w:type="dxa" w:w="2160"/>
          </w:tcPr>
          <w:p>
            <w:pPr>
              <w:jc w:val="right"/>
            </w:pPr>
            <w:r>
              <w:rPr>
                <w:b/>
              </w:rPr>
              <w:t>std_error</w:t>
            </w:r>
          </w:p>
        </w:tc>
        <w:tc>
          <w:tcPr>
            <w:tcW w:type="dxa" w:w="2160"/>
          </w:tcPr>
          <w:p>
            <w:pPr>
              <w:jc w:val="right"/>
            </w:pPr>
            <w:r>
              <w:rPr>
                <w:b/>
              </w:rPr>
              <w:t>p_value</w:t>
            </w:r>
          </w:p>
        </w:tc>
      </w:tr>
      <w:tr>
        <w:tc>
          <w:tcPr>
            <w:tcW w:type="dxa" w:w="2160"/>
          </w:tcPr>
          <w:p>
            <w:r>
              <w:t>period_1</w:t>
            </w:r>
          </w:p>
        </w:tc>
        <w:tc>
          <w:tcPr>
            <w:tcW w:type="dxa" w:w="2160"/>
          </w:tcPr>
          <w:p>
            <w:pPr>
              <w:jc w:val="right"/>
            </w:pPr>
            <w:r>
              <w:t>-3,4554</w:t>
            </w:r>
          </w:p>
        </w:tc>
        <w:tc>
          <w:tcPr>
            <w:tcW w:type="dxa" w:w="2160"/>
          </w:tcPr>
          <w:p>
            <w:pPr>
              <w:jc w:val="right"/>
            </w:pPr>
            <w:r>
              <w:t>0,0991</w:t>
            </w:r>
          </w:p>
        </w:tc>
        <w:tc>
          <w:tcPr>
            <w:tcW w:type="dxa" w:w="2160"/>
          </w:tcPr>
          <w:p>
            <w:pPr>
              <w:jc w:val="right"/>
            </w:pPr>
            <w:r>
              <w:t>&lt; 0,001</w:t>
            </w:r>
          </w:p>
        </w:tc>
      </w:tr>
      <w:tr>
        <w:tc>
          <w:tcPr>
            <w:tcW w:type="dxa" w:w="2160"/>
          </w:tcPr>
          <w:p>
            <w:r>
              <w:t>period_2</w:t>
            </w:r>
          </w:p>
        </w:tc>
        <w:tc>
          <w:tcPr>
            <w:tcW w:type="dxa" w:w="2160"/>
          </w:tcPr>
          <w:p>
            <w:pPr>
              <w:jc w:val="right"/>
            </w:pPr>
            <w:r>
              <w:t>-3,4517</w:t>
            </w:r>
          </w:p>
        </w:tc>
        <w:tc>
          <w:tcPr>
            <w:tcW w:type="dxa" w:w="2160"/>
          </w:tcPr>
          <w:p>
            <w:pPr>
              <w:jc w:val="right"/>
            </w:pPr>
            <w:r>
              <w:t>0,0996</w:t>
            </w:r>
          </w:p>
        </w:tc>
        <w:tc>
          <w:tcPr>
            <w:tcW w:type="dxa" w:w="2160"/>
          </w:tcPr>
          <w:p>
            <w:pPr>
              <w:jc w:val="right"/>
            </w:pPr>
            <w:r>
              <w:t>&lt; 0,001</w:t>
            </w:r>
          </w:p>
        </w:tc>
      </w:tr>
      <w:tr>
        <w:tc>
          <w:tcPr>
            <w:tcW w:type="dxa" w:w="2160"/>
          </w:tcPr>
          <w:p>
            <w:r>
              <w:t>period_3</w:t>
            </w:r>
          </w:p>
        </w:tc>
        <w:tc>
          <w:tcPr>
            <w:tcW w:type="dxa" w:w="2160"/>
          </w:tcPr>
          <w:p>
            <w:pPr>
              <w:jc w:val="right"/>
            </w:pPr>
            <w:r>
              <w:t>-3,5416</w:t>
            </w:r>
          </w:p>
        </w:tc>
        <w:tc>
          <w:tcPr>
            <w:tcW w:type="dxa" w:w="2160"/>
          </w:tcPr>
          <w:p>
            <w:pPr>
              <w:jc w:val="right"/>
            </w:pPr>
            <w:r>
              <w:t>0,1021</w:t>
            </w:r>
          </w:p>
        </w:tc>
        <w:tc>
          <w:tcPr>
            <w:tcW w:type="dxa" w:w="2160"/>
          </w:tcPr>
          <w:p>
            <w:pPr>
              <w:jc w:val="right"/>
            </w:pPr>
            <w:r>
              <w:t>&lt; 0,001</w:t>
            </w:r>
          </w:p>
        </w:tc>
      </w:tr>
      <w:tr>
        <w:tc>
          <w:tcPr>
            <w:tcW w:type="dxa" w:w="2160"/>
          </w:tcPr>
          <w:p>
            <w:r>
              <w:t>period_4</w:t>
            </w:r>
          </w:p>
        </w:tc>
        <w:tc>
          <w:tcPr>
            <w:tcW w:type="dxa" w:w="2160"/>
          </w:tcPr>
          <w:p>
            <w:pPr>
              <w:jc w:val="right"/>
            </w:pPr>
            <w:r>
              <w:t>-3,5137</w:t>
            </w:r>
          </w:p>
        </w:tc>
        <w:tc>
          <w:tcPr>
            <w:tcW w:type="dxa" w:w="2160"/>
          </w:tcPr>
          <w:p>
            <w:pPr>
              <w:jc w:val="right"/>
            </w:pPr>
            <w:r>
              <w:t>0,1026</w:t>
            </w:r>
          </w:p>
        </w:tc>
        <w:tc>
          <w:tcPr>
            <w:tcW w:type="dxa" w:w="2160"/>
          </w:tcPr>
          <w:p>
            <w:pPr>
              <w:jc w:val="right"/>
            </w:pPr>
            <w:r>
              <w:t>&lt; 0,001</w:t>
            </w:r>
          </w:p>
        </w:tc>
      </w:tr>
      <w:tr>
        <w:tc>
          <w:tcPr>
            <w:tcW w:type="dxa" w:w="2160"/>
          </w:tcPr>
          <w:p>
            <w:r>
              <w:t>period_5</w:t>
            </w:r>
          </w:p>
        </w:tc>
        <w:tc>
          <w:tcPr>
            <w:tcW w:type="dxa" w:w="2160"/>
          </w:tcPr>
          <w:p>
            <w:pPr>
              <w:jc w:val="right"/>
            </w:pPr>
            <w:r>
              <w:t>-3,5858</w:t>
            </w:r>
          </w:p>
        </w:tc>
        <w:tc>
          <w:tcPr>
            <w:tcW w:type="dxa" w:w="2160"/>
          </w:tcPr>
          <w:p>
            <w:pPr>
              <w:jc w:val="right"/>
            </w:pPr>
            <w:r>
              <w:t>0,1051</w:t>
            </w:r>
          </w:p>
        </w:tc>
        <w:tc>
          <w:tcPr>
            <w:tcW w:type="dxa" w:w="2160"/>
          </w:tcPr>
          <w:p>
            <w:pPr>
              <w:jc w:val="right"/>
            </w:pPr>
            <w:r>
              <w:t>&lt; 0,001</w:t>
            </w:r>
          </w:p>
        </w:tc>
      </w:tr>
      <w:tr>
        <w:tc>
          <w:tcPr>
            <w:tcW w:type="dxa" w:w="2160"/>
          </w:tcPr>
          <w:p>
            <w:r>
              <w:t>days_past_due</w:t>
            </w:r>
          </w:p>
        </w:tc>
        <w:tc>
          <w:tcPr>
            <w:tcW w:type="dxa" w:w="2160"/>
          </w:tcPr>
          <w:p>
            <w:pPr>
              <w:jc w:val="right"/>
            </w:pPr>
            <w:r>
              <w:t>0,0063</w:t>
            </w:r>
          </w:p>
        </w:tc>
        <w:tc>
          <w:tcPr>
            <w:tcW w:type="dxa" w:w="2160"/>
          </w:tcPr>
          <w:p>
            <w:pPr>
              <w:jc w:val="right"/>
            </w:pPr>
            <w:r>
              <w:t>0,00071</w:t>
            </w:r>
          </w:p>
        </w:tc>
        <w:tc>
          <w:tcPr>
            <w:tcW w:type="dxa" w:w="2160"/>
          </w:tcPr>
          <w:p>
            <w:pPr>
              <w:jc w:val="right"/>
            </w:pPr>
            <w:r>
              <w:t>&lt; 0,001</w:t>
            </w:r>
          </w:p>
        </w:tc>
      </w:tr>
      <w:tr>
        <w:tc>
          <w:tcPr>
            <w:tcW w:type="dxa" w:w="2160"/>
          </w:tcPr>
          <w:p>
            <w:r>
              <w:t>utilizacion_linea</w:t>
            </w:r>
          </w:p>
        </w:tc>
        <w:tc>
          <w:tcPr>
            <w:tcW w:type="dxa" w:w="2160"/>
          </w:tcPr>
          <w:p>
            <w:pPr>
              <w:jc w:val="right"/>
            </w:pPr>
            <w:r>
              <w:t>0,9536</w:t>
            </w:r>
          </w:p>
        </w:tc>
        <w:tc>
          <w:tcPr>
            <w:tcW w:type="dxa" w:w="2160"/>
          </w:tcPr>
          <w:p>
            <w:pPr>
              <w:jc w:val="right"/>
            </w:pPr>
            <w:r>
              <w:t>0,1378</w:t>
            </w:r>
          </w:p>
        </w:tc>
        <w:tc>
          <w:tcPr>
            <w:tcW w:type="dxa" w:w="2160"/>
          </w:tcPr>
          <w:p>
            <w:pPr>
              <w:jc w:val="right"/>
            </w:pPr>
            <w:r>
              <w:t>&lt; 0,001</w:t>
            </w:r>
          </w:p>
        </w:tc>
      </w:tr>
      <w:tr>
        <w:tc>
          <w:tcPr>
            <w:tcW w:type="dxa" w:w="2160"/>
          </w:tcPr>
          <w:p>
            <w:r>
              <w:t>deuda_ingreso</w:t>
            </w:r>
          </w:p>
        </w:tc>
        <w:tc>
          <w:tcPr>
            <w:tcW w:type="dxa" w:w="2160"/>
          </w:tcPr>
          <w:p>
            <w:pPr>
              <w:jc w:val="right"/>
            </w:pPr>
            <w:r>
              <w:t>1,40196</w:t>
            </w:r>
          </w:p>
        </w:tc>
        <w:tc>
          <w:tcPr>
            <w:tcW w:type="dxa" w:w="2160"/>
          </w:tcPr>
          <w:p>
            <w:pPr>
              <w:jc w:val="right"/>
            </w:pPr>
            <w:r>
              <w:t>0,0987</w:t>
            </w:r>
          </w:p>
        </w:tc>
        <w:tc>
          <w:tcPr>
            <w:tcW w:type="dxa" w:w="2160"/>
          </w:tcPr>
          <w:p>
            <w:pPr>
              <w:jc w:val="right"/>
            </w:pPr>
            <w:r>
              <w:t>&lt; 0,001</w:t>
            </w:r>
          </w:p>
        </w:tc>
      </w:tr>
      <w:tr>
        <w:tc>
          <w:tcPr>
            <w:tcW w:type="dxa" w:w="2160"/>
          </w:tcPr>
          <w:p>
            <w:r>
              <w:t>antiguedad_meses</w:t>
            </w:r>
          </w:p>
        </w:tc>
        <w:tc>
          <w:tcPr>
            <w:tcW w:type="dxa" w:w="2160"/>
          </w:tcPr>
          <w:p>
            <w:pPr>
              <w:jc w:val="right"/>
            </w:pPr>
            <w:r>
              <w:t>-0,0061</w:t>
            </w:r>
          </w:p>
        </w:tc>
        <w:tc>
          <w:tcPr>
            <w:tcW w:type="dxa" w:w="2160"/>
          </w:tcPr>
          <w:p>
            <w:pPr>
              <w:jc w:val="right"/>
            </w:pPr>
            <w:r>
              <w:t>0,00079</w:t>
            </w:r>
          </w:p>
        </w:tc>
        <w:tc>
          <w:tcPr>
            <w:tcW w:type="dxa" w:w="2160"/>
          </w:tcPr>
          <w:p>
            <w:pPr>
              <w:jc w:val="right"/>
            </w:pPr>
            <w:r>
              <w:t>&lt; 0,001</w:t>
            </w:r>
          </w:p>
        </w:tc>
      </w:tr>
    </w:tbl>
    <w:p>
      <w:pPr>
        <w:pStyle w:val="Heading2"/>
      </w:pPr>
      <w:r>
        <w:t>4.2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pPr>
              <w:jc w:val="right"/>
            </w:pPr>
            <w:r>
              <w:rPr>
                <w:b/>
              </w:rPr>
              <w:t>stage</w:t>
            </w:r>
          </w:p>
        </w:tc>
        <w:tc>
          <w:tcPr>
            <w:tcW w:type="dxa" w:w="1234"/>
          </w:tcPr>
          <w:p>
            <w:r>
              <w:rPr>
                <w:b/>
              </w:rPr>
              <w:t>scenario</w:t>
            </w:r>
          </w:p>
        </w:tc>
        <w:tc>
          <w:tcPr>
            <w:tcW w:type="dxa" w:w="1234"/>
          </w:tcPr>
          <w:p>
            <w:pPr>
              <w:jc w:val="right"/>
            </w:pPr>
            <w:r>
              <w:rPr>
                <w:b/>
              </w:rPr>
              <w:t>n_rows</w:t>
            </w:r>
          </w:p>
        </w:tc>
        <w:tc>
          <w:tcPr>
            <w:tcW w:type="dxa" w:w="1234"/>
          </w:tcPr>
          <w:p>
            <w:pPr>
              <w:jc w:val="right"/>
            </w:pPr>
            <w:r>
              <w:rPr>
                <w:b/>
              </w:rPr>
              <w:t>total_ead</w:t>
            </w:r>
          </w:p>
        </w:tc>
        <w:tc>
          <w:tcPr>
            <w:tcW w:type="dxa" w:w="1234"/>
          </w:tcPr>
          <w:p>
            <w:pPr>
              <w:jc w:val="right"/>
            </w:pPr>
            <w:r>
              <w:rPr>
                <w:b/>
              </w:rPr>
              <w:t>total_ecl_reported</w:t>
            </w:r>
          </w:p>
        </w:tc>
        <w:tc>
          <w:tcPr>
            <w:tcW w:type="dxa" w:w="1234"/>
          </w:tcPr>
          <w:p>
            <w:pPr>
              <w:jc w:val="right"/>
            </w:pPr>
            <w:r>
              <w:rPr>
                <w:b/>
              </w:rPr>
              <w:t>coverage_ratio</w:t>
            </w:r>
          </w:p>
        </w:tc>
      </w:tr>
      <w:tr>
        <w:tc>
          <w:tcPr>
            <w:tcW w:type="dxa" w:w="1234"/>
          </w:tcPr>
          <w:p>
            <w:r>
              <w:t>Comercial</w:t>
            </w:r>
          </w:p>
        </w:tc>
        <w:tc>
          <w:tcPr>
            <w:tcW w:type="dxa" w:w="1234"/>
          </w:tcPr>
          <w:p>
            <w:pPr>
              <w:jc w:val="right"/>
            </w:pPr>
            <w:r>
              <w:t>1</w:t>
            </w:r>
          </w:p>
        </w:tc>
        <w:tc>
          <w:tcPr>
            <w:tcW w:type="dxa" w:w="1234"/>
          </w:tcPr>
          <w:p>
            <w:r>
              <w:t>all</w:t>
            </w:r>
          </w:p>
        </w:tc>
        <w:tc>
          <w:tcPr>
            <w:tcW w:type="dxa" w:w="1234"/>
          </w:tcPr>
          <w:p>
            <w:pPr>
              <w:jc w:val="right"/>
            </w:pPr>
            <w:r>
              <w:t>775</w:t>
            </w:r>
          </w:p>
        </w:tc>
        <w:tc>
          <w:tcPr>
            <w:tcW w:type="dxa" w:w="1234"/>
          </w:tcPr>
          <w:p>
            <w:pPr>
              <w:jc w:val="right"/>
            </w:pPr>
            <w:r>
              <w:t>31.178.795,53</w:t>
            </w:r>
          </w:p>
        </w:tc>
        <w:tc>
          <w:tcPr>
            <w:tcW w:type="dxa" w:w="1234"/>
          </w:tcPr>
          <w:p>
            <w:pPr>
              <w:jc w:val="right"/>
            </w:pPr>
            <w:r>
              <w:t>581.332,24</w:t>
            </w:r>
          </w:p>
        </w:tc>
        <w:tc>
          <w:tcPr>
            <w:tcW w:type="dxa" w:w="1234"/>
          </w:tcPr>
          <w:p>
            <w:pPr>
              <w:jc w:val="right"/>
            </w:pPr>
            <w:r>
              <w:t>0,0186</w:t>
            </w:r>
          </w:p>
        </w:tc>
      </w:tr>
      <w:tr>
        <w:tc>
          <w:tcPr>
            <w:tcW w:type="dxa" w:w="1234"/>
          </w:tcPr>
          <w:p>
            <w:r>
              <w:t>Comercial</w:t>
            </w:r>
          </w:p>
        </w:tc>
        <w:tc>
          <w:tcPr>
            <w:tcW w:type="dxa" w:w="1234"/>
          </w:tcPr>
          <w:p>
            <w:pPr>
              <w:jc w:val="right"/>
            </w:pPr>
            <w:r>
              <w:t>2</w:t>
            </w:r>
          </w:p>
        </w:tc>
        <w:tc>
          <w:tcPr>
            <w:tcW w:type="dxa" w:w="1234"/>
          </w:tcPr>
          <w:p>
            <w:r>
              <w:t>all</w:t>
            </w:r>
          </w:p>
        </w:tc>
        <w:tc>
          <w:tcPr>
            <w:tcW w:type="dxa" w:w="1234"/>
          </w:tcPr>
          <w:p>
            <w:pPr>
              <w:jc w:val="right"/>
            </w:pPr>
            <w:r>
              <w:t>75</w:t>
            </w:r>
          </w:p>
        </w:tc>
        <w:tc>
          <w:tcPr>
            <w:tcW w:type="dxa" w:w="1234"/>
          </w:tcPr>
          <w:p>
            <w:pPr>
              <w:jc w:val="right"/>
            </w:pPr>
            <w:r>
              <w:t>3.137.275,52</w:t>
            </w:r>
          </w:p>
        </w:tc>
        <w:tc>
          <w:tcPr>
            <w:tcW w:type="dxa" w:w="1234"/>
          </w:tcPr>
          <w:p>
            <w:pPr>
              <w:jc w:val="right"/>
            </w:pPr>
            <w:r>
              <w:t>390.914,01</w:t>
            </w:r>
          </w:p>
        </w:tc>
        <w:tc>
          <w:tcPr>
            <w:tcW w:type="dxa" w:w="1234"/>
          </w:tcPr>
          <w:p>
            <w:pPr>
              <w:jc w:val="right"/>
            </w:pPr>
            <w:r>
              <w:t>0,1246</w:t>
            </w:r>
          </w:p>
        </w:tc>
      </w:tr>
      <w:tr>
        <w:tc>
          <w:tcPr>
            <w:tcW w:type="dxa" w:w="1234"/>
          </w:tcPr>
          <w:p>
            <w:r>
              <w:t>Comercial</w:t>
            </w:r>
          </w:p>
        </w:tc>
        <w:tc>
          <w:tcPr>
            <w:tcW w:type="dxa" w:w="1234"/>
          </w:tcPr>
          <w:p>
            <w:pPr>
              <w:jc w:val="right"/>
            </w:pPr>
            <w:r>
              <w:t>3</w:t>
            </w:r>
          </w:p>
        </w:tc>
        <w:tc>
          <w:tcPr>
            <w:tcW w:type="dxa" w:w="1234"/>
          </w:tcPr>
          <w:p>
            <w:r>
              <w:t>all</w:t>
            </w:r>
          </w:p>
        </w:tc>
        <w:tc>
          <w:tcPr>
            <w:tcW w:type="dxa" w:w="1234"/>
          </w:tcPr>
          <w:p>
            <w:pPr>
              <w:jc w:val="right"/>
            </w:pPr>
            <w:r>
              <w:t>51</w:t>
            </w:r>
          </w:p>
        </w:tc>
        <w:tc>
          <w:tcPr>
            <w:tcW w:type="dxa" w:w="1234"/>
          </w:tcPr>
          <w:p>
            <w:pPr>
              <w:jc w:val="right"/>
            </w:pPr>
            <w:r>
              <w:t>2.145.243,75</w:t>
            </w:r>
          </w:p>
        </w:tc>
        <w:tc>
          <w:tcPr>
            <w:tcW w:type="dxa" w:w="1234"/>
          </w:tcPr>
          <w:p>
            <w:pPr>
              <w:jc w:val="right"/>
            </w:pPr>
            <w:r>
              <w:t>375.806,68</w:t>
            </w:r>
          </w:p>
        </w:tc>
        <w:tc>
          <w:tcPr>
            <w:tcW w:type="dxa" w:w="1234"/>
          </w:tcPr>
          <w:p>
            <w:pPr>
              <w:jc w:val="right"/>
            </w:pPr>
            <w:r>
              <w:t>0,1752</w:t>
            </w:r>
          </w:p>
        </w:tc>
      </w:tr>
      <w:tr>
        <w:tc>
          <w:tcPr>
            <w:tcW w:type="dxa" w:w="1234"/>
          </w:tcPr>
          <w:p>
            <w:r>
              <w:t>Consumo</w:t>
            </w:r>
          </w:p>
        </w:tc>
        <w:tc>
          <w:tcPr>
            <w:tcW w:type="dxa" w:w="1234"/>
          </w:tcPr>
          <w:p>
            <w:pPr>
              <w:jc w:val="right"/>
            </w:pPr>
            <w:r>
              <w:t>1</w:t>
            </w:r>
          </w:p>
        </w:tc>
        <w:tc>
          <w:tcPr>
            <w:tcW w:type="dxa" w:w="1234"/>
          </w:tcPr>
          <w:p>
            <w:r>
              <w:t>all</w:t>
            </w:r>
          </w:p>
        </w:tc>
        <w:tc>
          <w:tcPr>
            <w:tcW w:type="dxa" w:w="1234"/>
          </w:tcPr>
          <w:p>
            <w:pPr>
              <w:jc w:val="right"/>
            </w:pPr>
            <w:r>
              <w:t>2.125</w:t>
            </w:r>
          </w:p>
        </w:tc>
        <w:tc>
          <w:tcPr>
            <w:tcW w:type="dxa" w:w="1234"/>
          </w:tcPr>
          <w:p>
            <w:pPr>
              <w:jc w:val="right"/>
            </w:pPr>
            <w:r>
              <w:t>18.099.269,13</w:t>
            </w:r>
          </w:p>
        </w:tc>
        <w:tc>
          <w:tcPr>
            <w:tcW w:type="dxa" w:w="1234"/>
          </w:tcPr>
          <w:p>
            <w:pPr>
              <w:jc w:val="right"/>
            </w:pPr>
            <w:r>
              <w:t>393.131,23</w:t>
            </w:r>
          </w:p>
        </w:tc>
        <w:tc>
          <w:tcPr>
            <w:tcW w:type="dxa" w:w="1234"/>
          </w:tcPr>
          <w:p>
            <w:pPr>
              <w:jc w:val="right"/>
            </w:pPr>
            <w:r>
              <w:t>0,0217</w:t>
            </w:r>
          </w:p>
        </w:tc>
      </w:tr>
      <w:tr>
        <w:tc>
          <w:tcPr>
            <w:tcW w:type="dxa" w:w="1234"/>
          </w:tcPr>
          <w:p>
            <w:r>
              <w:t>Consumo</w:t>
            </w:r>
          </w:p>
        </w:tc>
        <w:tc>
          <w:tcPr>
            <w:tcW w:type="dxa" w:w="1234"/>
          </w:tcPr>
          <w:p>
            <w:pPr>
              <w:jc w:val="right"/>
            </w:pPr>
            <w:r>
              <w:t>2</w:t>
            </w:r>
          </w:p>
        </w:tc>
        <w:tc>
          <w:tcPr>
            <w:tcW w:type="dxa" w:w="1234"/>
          </w:tcPr>
          <w:p>
            <w:r>
              <w:t>all</w:t>
            </w:r>
          </w:p>
        </w:tc>
        <w:tc>
          <w:tcPr>
            <w:tcW w:type="dxa" w:w="1234"/>
          </w:tcPr>
          <w:p>
            <w:pPr>
              <w:jc w:val="right"/>
            </w:pPr>
            <w:r>
              <w:t>177</w:t>
            </w:r>
          </w:p>
        </w:tc>
        <w:tc>
          <w:tcPr>
            <w:tcW w:type="dxa" w:w="1234"/>
          </w:tcPr>
          <w:p>
            <w:pPr>
              <w:jc w:val="right"/>
            </w:pPr>
            <w:r>
              <w:t>1.561.397,65</w:t>
            </w:r>
          </w:p>
        </w:tc>
        <w:tc>
          <w:tcPr>
            <w:tcW w:type="dxa" w:w="1234"/>
          </w:tcPr>
          <w:p>
            <w:pPr>
              <w:jc w:val="right"/>
            </w:pPr>
            <w:r>
              <w:t>201.559,53</w:t>
            </w:r>
          </w:p>
        </w:tc>
        <w:tc>
          <w:tcPr>
            <w:tcW w:type="dxa" w:w="1234"/>
          </w:tcPr>
          <w:p>
            <w:pPr>
              <w:jc w:val="right"/>
            </w:pPr>
            <w:r>
              <w:t>0,1291</w:t>
            </w:r>
          </w:p>
        </w:tc>
      </w:tr>
      <w:tr>
        <w:tc>
          <w:tcPr>
            <w:tcW w:type="dxa" w:w="1234"/>
          </w:tcPr>
          <w:p>
            <w:r>
              <w:t>Consumo</w:t>
            </w:r>
          </w:p>
        </w:tc>
        <w:tc>
          <w:tcPr>
            <w:tcW w:type="dxa" w:w="1234"/>
          </w:tcPr>
          <w:p>
            <w:pPr>
              <w:jc w:val="right"/>
            </w:pPr>
            <w:r>
              <w:t>3</w:t>
            </w:r>
          </w:p>
        </w:tc>
        <w:tc>
          <w:tcPr>
            <w:tcW w:type="dxa" w:w="1234"/>
          </w:tcPr>
          <w:p>
            <w:r>
              <w:t>all</w:t>
            </w:r>
          </w:p>
        </w:tc>
        <w:tc>
          <w:tcPr>
            <w:tcW w:type="dxa" w:w="1234"/>
          </w:tcPr>
          <w:p>
            <w:pPr>
              <w:jc w:val="right"/>
            </w:pPr>
            <w:r>
              <w:t>114</w:t>
            </w:r>
          </w:p>
        </w:tc>
        <w:tc>
          <w:tcPr>
            <w:tcW w:type="dxa" w:w="1234"/>
          </w:tcPr>
          <w:p>
            <w:pPr>
              <w:jc w:val="right"/>
            </w:pPr>
            <w:r>
              <w:t>990.794,93</w:t>
            </w:r>
          </w:p>
        </w:tc>
        <w:tc>
          <w:tcPr>
            <w:tcW w:type="dxa" w:w="1234"/>
          </w:tcPr>
          <w:p>
            <w:pPr>
              <w:jc w:val="right"/>
            </w:pPr>
            <w:r>
              <w:t>178.471,85</w:t>
            </w:r>
          </w:p>
        </w:tc>
        <w:tc>
          <w:tcPr>
            <w:tcW w:type="dxa" w:w="1234"/>
          </w:tcPr>
          <w:p>
            <w:pPr>
              <w:jc w:val="right"/>
            </w:pPr>
            <w:r>
              <w:t>0,1801</w:t>
            </w:r>
          </w:p>
        </w:tc>
      </w:tr>
      <w:tr>
        <w:tc>
          <w:tcPr>
            <w:tcW w:type="dxa" w:w="1234"/>
          </w:tcPr>
          <w:p>
            <w:r>
              <w:t>Hipotecario</w:t>
            </w:r>
          </w:p>
        </w:tc>
        <w:tc>
          <w:tcPr>
            <w:tcW w:type="dxa" w:w="1234"/>
          </w:tcPr>
          <w:p>
            <w:pPr>
              <w:jc w:val="right"/>
            </w:pPr>
            <w:r>
              <w:t>1</w:t>
            </w:r>
          </w:p>
        </w:tc>
        <w:tc>
          <w:tcPr>
            <w:tcW w:type="dxa" w:w="1234"/>
          </w:tcPr>
          <w:p>
            <w:r>
              <w:t>all</w:t>
            </w:r>
          </w:p>
        </w:tc>
        <w:tc>
          <w:tcPr>
            <w:tcW w:type="dxa" w:w="1234"/>
          </w:tcPr>
          <w:p>
            <w:pPr>
              <w:jc w:val="right"/>
            </w:pPr>
            <w:r>
              <w:t>809</w:t>
            </w:r>
          </w:p>
        </w:tc>
        <w:tc>
          <w:tcPr>
            <w:tcW w:type="dxa" w:w="1234"/>
          </w:tcPr>
          <w:p>
            <w:pPr>
              <w:jc w:val="right"/>
            </w:pPr>
            <w:r>
              <w:t>43.611.647,09</w:t>
            </w:r>
          </w:p>
        </w:tc>
        <w:tc>
          <w:tcPr>
            <w:tcW w:type="dxa" w:w="1234"/>
          </w:tcPr>
          <w:p>
            <w:pPr>
              <w:jc w:val="right"/>
            </w:pPr>
            <w:r>
              <w:t>437.771,24</w:t>
            </w:r>
          </w:p>
        </w:tc>
        <w:tc>
          <w:tcPr>
            <w:tcW w:type="dxa" w:w="1234"/>
          </w:tcPr>
          <w:p>
            <w:pPr>
              <w:jc w:val="right"/>
            </w:pPr>
            <w:r>
              <w:t>0,01004</w:t>
            </w:r>
          </w:p>
        </w:tc>
      </w:tr>
      <w:tr>
        <w:tc>
          <w:tcPr>
            <w:tcW w:type="dxa" w:w="1234"/>
          </w:tcPr>
          <w:p>
            <w:r>
              <w:t>Hipotecario</w:t>
            </w:r>
          </w:p>
        </w:tc>
        <w:tc>
          <w:tcPr>
            <w:tcW w:type="dxa" w:w="1234"/>
          </w:tcPr>
          <w:p>
            <w:pPr>
              <w:jc w:val="right"/>
            </w:pPr>
            <w:r>
              <w:t>2</w:t>
            </w:r>
          </w:p>
        </w:tc>
        <w:tc>
          <w:tcPr>
            <w:tcW w:type="dxa" w:w="1234"/>
          </w:tcPr>
          <w:p>
            <w:r>
              <w:t>all</w:t>
            </w:r>
          </w:p>
        </w:tc>
        <w:tc>
          <w:tcPr>
            <w:tcW w:type="dxa" w:w="1234"/>
          </w:tcPr>
          <w:p>
            <w:pPr>
              <w:jc w:val="right"/>
            </w:pPr>
            <w:r>
              <w:t>69</w:t>
            </w:r>
          </w:p>
        </w:tc>
        <w:tc>
          <w:tcPr>
            <w:tcW w:type="dxa" w:w="1234"/>
          </w:tcPr>
          <w:p>
            <w:pPr>
              <w:jc w:val="right"/>
            </w:pPr>
            <w:r>
              <w:t>3.693.801,39</w:t>
            </w:r>
          </w:p>
        </w:tc>
        <w:tc>
          <w:tcPr>
            <w:tcW w:type="dxa" w:w="1234"/>
          </w:tcPr>
          <w:p>
            <w:pPr>
              <w:jc w:val="right"/>
            </w:pPr>
            <w:r>
              <w:t>303.704,23</w:t>
            </w:r>
          </w:p>
        </w:tc>
        <w:tc>
          <w:tcPr>
            <w:tcW w:type="dxa" w:w="1234"/>
          </w:tcPr>
          <w:p>
            <w:pPr>
              <w:jc w:val="right"/>
            </w:pPr>
            <w:r>
              <w:t>0,0822</w:t>
            </w:r>
          </w:p>
        </w:tc>
      </w:tr>
      <w:tr>
        <w:tc>
          <w:tcPr>
            <w:tcW w:type="dxa" w:w="1234"/>
          </w:tcPr>
          <w:p>
            <w:r>
              <w:t>Hipotecario</w:t>
            </w:r>
          </w:p>
        </w:tc>
        <w:tc>
          <w:tcPr>
            <w:tcW w:type="dxa" w:w="1234"/>
          </w:tcPr>
          <w:p>
            <w:pPr>
              <w:jc w:val="right"/>
            </w:pPr>
            <w:r>
              <w:t>3</w:t>
            </w:r>
          </w:p>
        </w:tc>
        <w:tc>
          <w:tcPr>
            <w:tcW w:type="dxa" w:w="1234"/>
          </w:tcPr>
          <w:p>
            <w:r>
              <w:t>all</w:t>
            </w:r>
          </w:p>
        </w:tc>
        <w:tc>
          <w:tcPr>
            <w:tcW w:type="dxa" w:w="1234"/>
          </w:tcPr>
          <w:p>
            <w:pPr>
              <w:jc w:val="right"/>
            </w:pPr>
            <w:r>
              <w:t>38</w:t>
            </w:r>
          </w:p>
        </w:tc>
        <w:tc>
          <w:tcPr>
            <w:tcW w:type="dxa" w:w="1234"/>
          </w:tcPr>
          <w:p>
            <w:pPr>
              <w:jc w:val="right"/>
            </w:pPr>
            <w:r>
              <w:t>2.244.951,10</w:t>
            </w:r>
          </w:p>
        </w:tc>
        <w:tc>
          <w:tcPr>
            <w:tcW w:type="dxa" w:w="1234"/>
          </w:tcPr>
          <w:p>
            <w:pPr>
              <w:jc w:val="right"/>
            </w:pPr>
            <w:r>
              <w:t>251.942,93</w:t>
            </w:r>
          </w:p>
        </w:tc>
        <w:tc>
          <w:tcPr>
            <w:tcW w:type="dxa" w:w="1234"/>
          </w:tcPr>
          <w:p>
            <w:pPr>
              <w:jc w:val="right"/>
            </w:pPr>
            <w:r>
              <w:t>0,1122</w:t>
            </w:r>
          </w:p>
        </w:tc>
      </w:tr>
      <w:tr>
        <w:tc>
          <w:tcPr>
            <w:tcW w:type="dxa" w:w="1234"/>
          </w:tcPr>
          <w:p>
            <w:r>
              <w:t>Tarjetas</w:t>
            </w:r>
          </w:p>
        </w:tc>
        <w:tc>
          <w:tcPr>
            <w:tcW w:type="dxa" w:w="1234"/>
          </w:tcPr>
          <w:p>
            <w:pPr>
              <w:jc w:val="right"/>
            </w:pPr>
            <w:r>
              <w:t>1</w:t>
            </w:r>
          </w:p>
        </w:tc>
        <w:tc>
          <w:tcPr>
            <w:tcW w:type="dxa" w:w="1234"/>
          </w:tcPr>
          <w:p>
            <w:r>
              <w:t>all</w:t>
            </w:r>
          </w:p>
        </w:tc>
        <w:tc>
          <w:tcPr>
            <w:tcW w:type="dxa" w:w="1234"/>
          </w:tcPr>
          <w:p>
            <w:pPr>
              <w:jc w:val="right"/>
            </w:pPr>
            <w:r>
              <w:t>1.526</w:t>
            </w:r>
          </w:p>
        </w:tc>
        <w:tc>
          <w:tcPr>
            <w:tcW w:type="dxa" w:w="1234"/>
          </w:tcPr>
          <w:p>
            <w:pPr>
              <w:jc w:val="right"/>
            </w:pPr>
            <w:r>
              <w:t>6.614.503,17</w:t>
            </w:r>
          </w:p>
        </w:tc>
        <w:tc>
          <w:tcPr>
            <w:tcW w:type="dxa" w:w="1234"/>
          </w:tcPr>
          <w:p>
            <w:pPr>
              <w:jc w:val="right"/>
            </w:pPr>
            <w:r>
              <w:t>159.269,35</w:t>
            </w:r>
          </w:p>
        </w:tc>
        <w:tc>
          <w:tcPr>
            <w:tcW w:type="dxa" w:w="1234"/>
          </w:tcPr>
          <w:p>
            <w:pPr>
              <w:jc w:val="right"/>
            </w:pPr>
            <w:r>
              <w:t>0,0241</w:t>
            </w:r>
          </w:p>
        </w:tc>
      </w:tr>
      <w:tr>
        <w:tc>
          <w:tcPr>
            <w:tcW w:type="dxa" w:w="1234"/>
          </w:tcPr>
          <w:p>
            <w:r>
              <w:t>Tarjetas</w:t>
            </w:r>
          </w:p>
        </w:tc>
        <w:tc>
          <w:tcPr>
            <w:tcW w:type="dxa" w:w="1234"/>
          </w:tcPr>
          <w:p>
            <w:pPr>
              <w:jc w:val="right"/>
            </w:pPr>
            <w:r>
              <w:t>2</w:t>
            </w:r>
          </w:p>
        </w:tc>
        <w:tc>
          <w:tcPr>
            <w:tcW w:type="dxa" w:w="1234"/>
          </w:tcPr>
          <w:p>
            <w:r>
              <w:t>all</w:t>
            </w:r>
          </w:p>
        </w:tc>
        <w:tc>
          <w:tcPr>
            <w:tcW w:type="dxa" w:w="1234"/>
          </w:tcPr>
          <w:p>
            <w:pPr>
              <w:jc w:val="right"/>
            </w:pPr>
            <w:r>
              <w:t>156</w:t>
            </w:r>
          </w:p>
        </w:tc>
        <w:tc>
          <w:tcPr>
            <w:tcW w:type="dxa" w:w="1234"/>
          </w:tcPr>
          <w:p>
            <w:pPr>
              <w:jc w:val="right"/>
            </w:pPr>
            <w:r>
              <w:t>672.454,41</w:t>
            </w:r>
          </w:p>
        </w:tc>
        <w:tc>
          <w:tcPr>
            <w:tcW w:type="dxa" w:w="1234"/>
          </w:tcPr>
          <w:p>
            <w:pPr>
              <w:jc w:val="right"/>
            </w:pPr>
            <w:r>
              <w:t>84.444,87</w:t>
            </w:r>
          </w:p>
        </w:tc>
        <w:tc>
          <w:tcPr>
            <w:tcW w:type="dxa" w:w="1234"/>
          </w:tcPr>
          <w:p>
            <w:pPr>
              <w:jc w:val="right"/>
            </w:pPr>
            <w:r>
              <w:t>0,1256</w:t>
            </w:r>
          </w:p>
        </w:tc>
      </w:tr>
      <w:tr>
        <w:tc>
          <w:tcPr>
            <w:tcW w:type="dxa" w:w="1234"/>
          </w:tcPr>
          <w:p>
            <w:r>
              <w:t>Tarjetas</w:t>
            </w:r>
          </w:p>
        </w:tc>
        <w:tc>
          <w:tcPr>
            <w:tcW w:type="dxa" w:w="1234"/>
          </w:tcPr>
          <w:p>
            <w:pPr>
              <w:jc w:val="right"/>
            </w:pPr>
            <w:r>
              <w:t>3</w:t>
            </w:r>
          </w:p>
        </w:tc>
        <w:tc>
          <w:tcPr>
            <w:tcW w:type="dxa" w:w="1234"/>
          </w:tcPr>
          <w:p>
            <w:r>
              <w:t>all</w:t>
            </w:r>
          </w:p>
        </w:tc>
        <w:tc>
          <w:tcPr>
            <w:tcW w:type="dxa" w:w="1234"/>
          </w:tcPr>
          <w:p>
            <w:pPr>
              <w:jc w:val="right"/>
            </w:pPr>
            <w:r>
              <w:t>85</w:t>
            </w:r>
          </w:p>
        </w:tc>
        <w:tc>
          <w:tcPr>
            <w:tcW w:type="dxa" w:w="1234"/>
          </w:tcPr>
          <w:p>
            <w:pPr>
              <w:jc w:val="right"/>
            </w:pPr>
            <w:r>
              <w:t>375.181,03</w:t>
            </w:r>
          </w:p>
        </w:tc>
        <w:tc>
          <w:tcPr>
            <w:tcW w:type="dxa" w:w="1234"/>
          </w:tcPr>
          <w:p>
            <w:pPr>
              <w:jc w:val="right"/>
            </w:pPr>
            <w:r>
              <w:t>64.767,96</w:t>
            </w:r>
          </w:p>
        </w:tc>
        <w:tc>
          <w:tcPr>
            <w:tcW w:type="dxa" w:w="1234"/>
          </w:tcPr>
          <w:p>
            <w:pPr>
              <w:jc w:val="right"/>
            </w:pPr>
            <w:r>
              <w:t>0,1726</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2026-10-05T15:48:00.942816Z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0efa603d6fce982384e60585fcf7c8781a77e82f</w:t>
      </w:r>
    </w:p>
    <w:p>
      <w:r>
        <w:rPr>
          <w:b/>
        </w:rPr>
        <w:t>library_versions</w:t>
      </w:r>
    </w:p>
    <w:p>
      <w:r>
        <w:rPr>
          <w:rFonts w:ascii="Consolas" w:hAnsi="Consolas"/>
        </w:rPr>
        <w:t>{</w:t>
        <w:br/>
        <w:t xml:space="preserve">  "PyYAML": "6.0.3",</w:t>
        <w:br/>
        <w:t xml:space="preserve">  "bayesrisk": "2.5.0",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4aafc33ab633a7f7e34a8a69197d56c1ce3fb5edc22e6e9a473a92e0ceef1a32</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"survival.coefficients",</w:t>
        <w:br/>
        <w:t xml:space="preserve">  "data.states",</w:t>
        <w:br/>
        <w:t xml:space="preserve">  "data.partitions",</w:t>
        <w:br/>
        <w:t xml:space="preserve">  "data.exclusions",</w:t>
        <w:br/>
        <w:t xml:space="preserve">  "survival.pd_by_period"</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".bayesrisk-demo-fixtures-f4/datasets/ifrs9_retail_latam.parquet"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"0,09197"</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w:t>
        <w:br/>
        <w:t xml:space="preserve">  "min_survival": "0,00497",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w:t>
        <w:br/>
        <w:t xml:space="preserve">    "lgd_col": "lgd",</w:t>
        <w:br/>
        <w:t xml:space="preserve">    "lgd_floor": "0,00",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w:t>
        <w:br/>
        <w:t xml:space="preserve">    "sicr_pd_ratio_threshold": "2,00",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bayesrisk</dc:creator>
  <cp:keywords/>
  <dc:description>Generado por bayesrisk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