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Provisiones IFRS 9 / ECL</w:t>
      </w:r>
    </w:p>
    <w:p>
      <w:r>
        <w:rPr>
          <w:b/>
        </w:rPr>
        <w:t>USO INTERNO — CONFIDENCIAL</w:t>
      </w:r>
    </w:p>
    <w:tbl>
      <w:tblPr>
        <w:tblStyle w:val="TableGrid"/>
        <w:tblW w:type="auto" w:w="0"/>
        <w:tblLook w:firstColumn="1" w:firstRow="1" w:lastColumn="0" w:lastRow="0" w:noHBand="0" w:noVBand="1" w:val="04A0"/>
      </w:tblPr>
      <w:tblGrid>
        <w:gridCol w:w="4320"/>
        <w:gridCol w:w="4320"/>
      </w:tblGrid>
      <w:tr>
        <w:tc>
          <w:tcPr>
            <w:tcW w:type="dxa" w:w="4320"/>
          </w:tcPr>
          <w:p>
            <w:r>
              <w:rPr>
                <w:b/>
              </w:rPr>
              <w:t>Modelo</w:t>
            </w:r>
          </w:p>
        </w:tc>
        <w:tc>
          <w:tcPr>
            <w:tcW w:type="dxa" w:w="4320"/>
          </w:tcPr>
          <w:p>
            <w:r/>
          </w:p>
        </w:tc>
      </w:tr>
      <w:tr>
        <w:tc>
          <w:tcPr>
            <w:tcW w:type="dxa" w:w="4320"/>
          </w:tcPr>
          <w:p>
            <w:r>
              <w:rPr>
                <w:b/>
              </w:rPr>
              <w:t>Entidad</w:t>
            </w:r>
          </w:p>
        </w:tc>
        <w:tc>
          <w:tcPr>
            <w:tcW w:type="dxa" w:w="4320"/>
          </w:tcPr>
          <w:p>
            <w:r/>
          </w:p>
        </w:tc>
      </w:tr>
      <w:tr>
        <w:tc>
          <w:tcPr>
            <w:tcW w:type="dxa" w:w="4320"/>
          </w:tcPr>
          <w:p>
            <w:r>
              <w:rPr>
                <w:b/>
              </w:rPr>
              <w:t>Cartera</w:t>
            </w:r>
          </w:p>
        </w:tc>
        <w:tc>
          <w:tcPr>
            <w:tcW w:type="dxa" w:w="4320"/>
          </w:tcPr>
          <w:p>
            <w:r/>
          </w:p>
        </w:tc>
      </w:tr>
      <w:tr>
        <w:tc>
          <w:tcPr>
            <w:tcW w:type="dxa" w:w="4320"/>
          </w:tcPr>
          <w:p>
            <w:r>
              <w:rPr>
                <w:b/>
              </w:rPr>
              <w:t>Responsable del desarrollo</w:t>
            </w:r>
          </w:p>
        </w:tc>
        <w:tc>
          <w:tcPr>
            <w:tcW w:type="dxa" w:w="4320"/>
          </w:tcPr>
          <w:p>
            <w:r/>
          </w:p>
        </w:tc>
      </w:tr>
      <w:tr>
        <w:tc>
          <w:tcPr>
            <w:tcW w:type="dxa" w:w="4320"/>
          </w:tcPr>
          <w:p>
            <w:r>
              <w:rPr>
                <w:b/>
              </w:rPr>
              <w:t>Versión del informe</w:t>
            </w:r>
          </w:p>
        </w:tc>
        <w:tc>
          <w:tcPr>
            <w:tcW w:type="dxa" w:w="4320"/>
          </w:tcPr>
          <w:p>
            <w:r/>
          </w:p>
        </w:tc>
      </w:tr>
      <w:tr>
        <w:tc>
          <w:tcPr>
            <w:tcW w:type="dxa" w:w="4320"/>
          </w:tcPr>
          <w:p>
            <w:r>
              <w:rPr>
                <w:b/>
              </w:rPr>
              <w:t>Fecha de emisión</w:t>
            </w:r>
          </w:p>
        </w:tc>
        <w:tc>
          <w:tcPr>
            <w:tcW w:type="dxa" w:w="4320"/>
          </w:tcPr>
          <w:p>
            <w:r>
              <w:t>2026-10-21</w:t>
            </w:r>
          </w:p>
        </w:tc>
      </w:tr>
    </w:tbl>
    <w:p/>
    <w:p>
      <w:r>
        <w:rPr>
          <w:b/>
        </w:rPr>
        <w:t>Trazabilidad de la corrida (lineage)</w:t>
      </w:r>
    </w:p>
    <w:p>
      <w:r>
        <w:rPr>
          <w:rFonts w:ascii="Consolas" w:hAnsi="Consolas"/>
        </w:rPr>
        <w:t>config_hash=7de7a6829e85107303df2cfb9f4d09a40513bc8ea855ed9e3214d5182e88870c</w:t>
      </w:r>
    </w:p>
    <w:p>
      <w:r>
        <w:rPr>
          <w:rFonts w:ascii="Consolas" w:hAnsi="Consolas"/>
        </w:rPr>
        <w:t>data_hash=d713808d0604110d6c450358453cea172934d93eb56ccdcb0e7aea7279a94e3e</w:t>
      </w:r>
    </w:p>
    <w:p>
      <w:r>
        <w:rPr>
          <w:rFonts w:ascii="Consolas" w:hAnsi="Consolas"/>
        </w:rPr>
        <w:t>git_sha=06c5ad70cbbe909c30e94456faccc79bddf71d03</w:t>
      </w:r>
    </w:p>
    <w:p>
      <w:r>
        <w:rPr>
          <w:rFonts w:ascii="Consolas" w:hAnsi="Consolas"/>
        </w:rPr>
        <w:t>root_seed=20240706</w:t>
      </w:r>
    </w:p>
    <w:p/>
    <w:tbl>
      <w:tblPr>
        <w:tblStyle w:val="TableGrid"/>
        <w:tblW w:type="auto" w:w="0"/>
        <w:tblLook w:firstColumn="1" w:firstRow="1" w:lastColumn="0" w:lastRow="0" w:noHBand="0" w:noVBand="1" w:val="04A0"/>
      </w:tblPr>
      <w:tblGrid>
        <w:gridCol w:w="2880"/>
        <w:gridCol w:w="2880"/>
        <w:gridCol w:w="2880"/>
      </w:tblGrid>
      <w:tr>
        <w:trPr>
          <w:tblHeader/>
          <w:cantSplit/>
        </w:trPr>
        <w:tc>
          <w:tcPr>
            <w:tcW w:type="dxa" w:w="2880"/>
          </w:tcPr>
          <w:p>
            <w:r>
              <w:rPr>
                <w:b/>
              </w:rPr>
              <w:t>Rol</w:t>
            </w:r>
          </w:p>
        </w:tc>
        <w:tc>
          <w:tcPr>
            <w:tcW w:type="dxa" w:w="2880"/>
          </w:tcPr>
          <w:p>
            <w:r>
              <w:rPr>
                <w:b/>
              </w:rPr>
              <w:t>Nombre</w:t>
            </w:r>
          </w:p>
        </w:tc>
        <w:tc>
          <w:tcPr>
            <w:tcW w:type="dxa" w:w="2880"/>
          </w:tcPr>
          <w:p>
            <w:r>
              <w:rPr>
                <w:b/>
              </w:rPr>
              <w:t>Fecha</w:t>
            </w:r>
          </w:p>
        </w:tc>
      </w:tr>
      <w:tr>
        <w:trPr>
          <w:cantSplit/>
        </w:trPr>
        <w:tc>
          <w:tcPr>
            <w:tcW w:type="dxa" w:w="2880"/>
          </w:tcPr>
          <w:p>
            <w:r>
              <w:t>Desarrollo</w:t>
            </w:r>
          </w:p>
        </w:tc>
        <w:tc>
          <w:tcPr>
            <w:tcW w:type="dxa" w:w="2880"/>
          </w:tcPr>
          <w:p>
            <w:r/>
          </w:p>
        </w:tc>
        <w:tc>
          <w:tcPr>
            <w:tcW w:type="dxa" w:w="2880"/>
          </w:tcPr>
          <w:p>
            <w:r/>
          </w:p>
        </w:tc>
      </w:tr>
      <w:tr>
        <w:trPr>
          <w:cantSplit/>
        </w:trPr>
        <w:tc>
          <w:tcPr>
            <w:tcW w:type="dxa" w:w="2880"/>
          </w:tcPr>
          <w:p>
            <w:r>
              <w:t>Validación independiente</w:t>
            </w:r>
          </w:p>
        </w:tc>
        <w:tc>
          <w:tcPr>
            <w:tcW w:type="dxa" w:w="2880"/>
          </w:tcPr>
          <w:p>
            <w:r/>
          </w:p>
        </w:tc>
        <w:tc>
          <w:tcPr>
            <w:tcW w:type="dxa" w:w="2880"/>
          </w:tcPr>
          <w:p>
            <w:r/>
          </w:p>
        </w:tc>
      </w:tr>
      <w:tr>
        <w:trPr>
          <w:cantSplit/>
        </w:trPr>
        <w:tc>
          <w:tcPr>
            <w:tcW w:type="dxa" w:w="2880"/>
          </w:tcPr>
          <w:p>
            <w:r>
              <w:t>Aprobación</w:t>
            </w:r>
          </w:p>
        </w:tc>
        <w:tc>
          <w:tcPr>
            <w:tcW w:type="dxa" w:w="2880"/>
          </w:tcPr>
          <w:p>
            <w:r/>
          </w:p>
        </w:tc>
        <w:tc>
          <w:tcPr>
            <w:tcW w:type="dxa" w:w="2880"/>
          </w:tcPr>
          <w:p>
            <w:r/>
          </w:p>
        </w:tc>
      </w:tr>
    </w:tbl>
    <w:p>
      <w:r>
        <w:br w:type="page"/>
      </w:r>
    </w:p>
    <w:p>
      <w:pPr>
        <w:pStyle w:val="Heading1"/>
      </w:pPr>
      <w:r>
        <w:t>Resumen de la corrida</w:t>
      </w:r>
    </w:p>
    <w:p>
      <w:r>
        <w:t>Lo que cuenta la corrida al terminar, con la misma fuente que la puerta guiada y la pestaña Resultados: el estado de la ejecución, los supuestos de los que depende la provisión, sus cifras clave, qué revisar, las decisiones humanas con su motivo y dónde queda cada archivo. Una provisión no tiene veredicto técnico del motor: el juicio sobre ella lo firma el validador en el resumen ejecutivo.</w:t>
      </w:r>
    </w:p>
    <w:p>
      <w:r>
        <w:t>Las rutas son las que el informe escribió al generarse: si la corrida se copia o se archiva después —desde la interfaz, o al apartar una corrida anterior—, los archivos se buscan en su carpeta de destino, y el registro de auditoría deja constancia de cada uno que se escribió.</w:t>
      </w:r>
    </w:p>
    <w:tbl>
      <w:tblPr>
        <w:tblStyle w:val="TableGrid"/>
        <w:tblW w:type="auto" w:w="0"/>
        <w:tblLook w:firstColumn="1" w:firstRow="1" w:lastColumn="0" w:lastRow="0" w:noHBand="0" w:noVBand="1" w:val="04A0"/>
      </w:tblPr>
      <w:tblGrid>
        <w:gridCol w:w="4320"/>
        <w:gridCol w:w="4320"/>
      </w:tblGrid>
      <w:tr>
        <w:tc>
          <w:tcPr>
            <w:tcW w:type="dxa" w:w="4320"/>
          </w:tcPr>
          <w:p>
            <w:r>
              <w:rPr>
                <w:b/>
              </w:rPr>
              <w:t>Ejecución</w:t>
            </w:r>
          </w:p>
        </w:tc>
        <w:tc>
          <w:tcPr>
            <w:tcW w:type="dxa" w:w="4320"/>
          </w:tcPr>
          <w:p>
            <w:r>
              <w:t>corrieron sin fallos Cartera, Curva de PD y Provisión IFRS 9; este informe es la última etapa de la corrida</w:t>
            </w:r>
          </w:p>
        </w:tc>
      </w:tr>
    </w:tbl>
    <w:p>
      <w:r>
        <w:rPr>
          <w:b/>
          <w:sz w:val="18"/>
        </w:rPr>
        <w:t>Supuestos</w:t>
      </w:r>
    </w:p>
    <w:p>
      <w:pPr>
        <w:pStyle w:val="ListBullet"/>
      </w:pPr>
      <w:r>
        <w:t>La PD es a lo largo del ciclo (TTC): no se ajusta a las condiciones actuales ni a escenarios macroeconómicos</w:t>
      </w:r>
    </w:p>
    <w:p>
      <w:pPr>
        <w:pStyle w:val="ListBullet"/>
      </w:pPr>
      <w:r>
        <w:t>Un escenario único, sin ponderación macroeconómica</w:t>
      </w:r>
    </w:p>
    <w:p>
      <w:pPr>
        <w:pStyle w:val="ListBullet"/>
      </w:pPr>
      <w:r>
        <w:t>La curva de PD se ajusta a la historia de incumplimientos de la propia cartera, con 4 covariables</w:t>
      </w:r>
    </w:p>
    <w:p>
      <w:pPr>
        <w:pStyle w:val="ListBullet"/>
      </w:pPr>
      <w:r>
        <w:t>Los 12 meses del Stage 1 son el primer período de la curva (1 año)</w:t>
      </w:r>
    </w:p>
    <w:p>
      <w:pPr>
        <w:pStyle w:val="ListBullet"/>
      </w:pPr>
      <w:r>
        <w:t>Stage 2 desde 30 días de mora y Stage 3 desde 90: las presunciones de IFRS 9 (5.5.11 y B5.5.37)</w:t>
      </w:r>
    </w:p>
    <w:p>
      <w:pPr>
        <w:pStyle w:val="ListBullet"/>
      </w:pPr>
      <w:r>
        <w:t>Stage 3: la pérdida del incumplimiento ya ocurrido, LGD × EAD (PD = 1)</w:t>
      </w:r>
    </w:p>
    <w:p>
      <w:pPr>
        <w:pStyle w:val="ListBullet"/>
      </w:pPr>
      <w:r>
        <w:t>La exposición (EAD) se proyectó constante a lo largo de la vida de cada operación, porque el dataset no trae un perfil de exposición por período: si la cartera amortiza, la ECL de por vida queda sobrestimada</w:t>
      </w:r>
    </w:p>
    <w:p>
      <w:pPr>
        <w:pStyle w:val="ListBullet"/>
      </w:pPr>
      <w:r>
        <w:t>La LGD es la del archivo de cartera, la misma en cada período</w:t>
      </w:r>
    </w:p>
    <w:p>
      <w:r>
        <w:rPr>
          <w:b/>
          <w:sz w:val="18"/>
        </w:rPr>
        <w:t>Cifras clave</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Pr>
          <w:p>
            <w:r>
              <w:rPr>
                <w:b/>
              </w:rPr>
              <w:t>Cifra</w:t>
            </w:r>
          </w:p>
        </w:tc>
        <w:tc>
          <w:tcPr>
            <w:tcW w:type="dxa" w:w="4320"/>
          </w:tcPr>
          <w:p>
            <w:r>
              <w:rPr>
                <w:b/>
              </w:rPr>
              <w:t>Valor</w:t>
            </w:r>
          </w:p>
        </w:tc>
      </w:tr>
      <w:tr>
        <w:trPr>
          <w:cantSplit/>
        </w:trPr>
        <w:tc>
          <w:tcPr>
            <w:tcW w:type="dxa" w:w="4320"/>
          </w:tcPr>
          <w:p>
            <w:r>
              <w:t>ECL total</w:t>
            </w:r>
          </w:p>
        </w:tc>
        <w:tc>
          <w:tcPr>
            <w:tcW w:type="dxa" w:w="4320"/>
          </w:tcPr>
          <w:p>
            <w:r>
              <w:t>4.786.739</w:t>
            </w:r>
          </w:p>
        </w:tc>
      </w:tr>
      <w:tr>
        <w:trPr>
          <w:cantSplit/>
        </w:trPr>
        <w:tc>
          <w:tcPr>
            <w:tcW w:type="dxa" w:w="4320"/>
          </w:tcPr>
          <w:p>
            <w:r>
              <w:t>Cobertura (ECL sobre la exposición)</w:t>
            </w:r>
          </w:p>
        </w:tc>
        <w:tc>
          <w:tcPr>
            <w:tcW w:type="dxa" w:w="4320"/>
          </w:tcPr>
          <w:p>
            <w:r>
              <w:t>4,19 %</w:t>
            </w:r>
          </w:p>
        </w:tc>
      </w:tr>
      <w:tr>
        <w:trPr>
          <w:cantSplit/>
        </w:trPr>
        <w:tc>
          <w:tcPr>
            <w:tcW w:type="dxa" w:w="4320"/>
          </w:tcPr>
          <w:p>
            <w:r>
              <w:t>Exposición en Stage 2 y 3</w:t>
            </w:r>
          </w:p>
        </w:tc>
        <w:tc>
          <w:tcPr>
            <w:tcW w:type="dxa" w:w="4320"/>
          </w:tcPr>
          <w:p>
            <w:r>
              <w:t>12,96 %</w:t>
            </w:r>
          </w:p>
        </w:tc>
      </w:tr>
      <w:tr>
        <w:trPr>
          <w:cantSplit/>
        </w:trPr>
        <w:tc>
          <w:tcPr>
            <w:tcW w:type="dxa" w:w="4320"/>
          </w:tcPr>
          <w:p>
            <w:r>
              <w:t>ECL de Stage 2 y 3</w:t>
            </w:r>
          </w:p>
        </w:tc>
        <w:tc>
          <w:tcPr>
            <w:tcW w:type="dxa" w:w="4320"/>
          </w:tcPr>
          <w:p>
            <w:r>
              <w:t>67,17 %</w:t>
            </w:r>
          </w:p>
        </w:tc>
      </w:tr>
      <w:tr>
        <w:trPr>
          <w:cantSplit/>
        </w:trPr>
        <w:tc>
          <w:tcPr>
            <w:tcW w:type="dxa" w:w="4320"/>
          </w:tcPr>
          <w:p>
            <w:r>
              <w:t>PD a 12 meses media, ponderada por la exposición</w:t>
            </w:r>
          </w:p>
        </w:tc>
        <w:tc>
          <w:tcPr>
            <w:tcW w:type="dxa" w:w="4320"/>
          </w:tcPr>
          <w:p>
            <w:r>
              <w:t>6,31 %</w:t>
            </w:r>
          </w:p>
        </w:tc>
      </w:tr>
    </w:tbl>
    <w:p>
      <w:r>
        <w:rPr>
          <w:b/>
          <w:sz w:val="18"/>
        </w:rPr>
        <w:t>Qué revisar</w:t>
      </w:r>
    </w:p>
    <w:p>
      <w:pPr>
        <w:pStyle w:val="ListBullet"/>
      </w:pPr>
      <w:r>
        <w:t>⚠ Provisión IFRS 9: La provisión usa la PD a lo largo del ciclo (TTC), sin ajuste a las condiciones actuales ni a escenarios macroeconómicos: IFRS 9 (5.5.17) pide considerar información razonable sobre el presente y el futuro</w:t>
      </w:r>
    </w:p>
    <w:p>
      <w:pPr>
        <w:pStyle w:val="ListBullet"/>
      </w:pPr>
      <w:r>
        <w:t>⚠ Provisión IFRS 9: El aumento significativo del riesgo se detecta sólo por la mora y la marca de incumplimiento: la corrida no trae PD de origen, rating ni decisión cualitativa con que compararlo</w:t>
      </w:r>
    </w:p>
    <w:p>
      <w:r>
        <w:rPr>
          <w:b/>
          <w:sz w:val="18"/>
        </w:rPr>
        <w:t>Decisiones humanas registradas</w:t>
      </w:r>
    </w:p>
    <w:p>
      <w:r>
        <w:rPr>
          <w:i/>
        </w:rPr>
        <w:t>Ninguna decisión humana registrada; lo que se decidió vive en el config de la corrida.</w:t>
      </w:r>
    </w:p>
    <w:p>
      <w:r>
        <w:rPr>
          <w:b/>
          <w:sz w:val="18"/>
        </w:rPr>
        <w:t>Dónde quedó cada archivo</w:t>
      </w:r>
    </w:p>
    <w:tbl>
      <w:tblPr>
        <w:tblStyle w:val="TableGrid"/>
        <w:tblW w:type="auto" w:w="0"/>
        <w:tblLook w:firstColumn="1" w:firstRow="1" w:lastColumn="0" w:lastRow="0" w:noHBand="0" w:noVBand="1" w:val="04A0"/>
      </w:tblPr>
      <w:tblGrid>
        <w:gridCol w:w="4320"/>
        <w:gridCol w:w="4320"/>
      </w:tblGrid>
      <w:tr>
        <w:tc>
          <w:tcPr>
            <w:tcW w:type="dxa" w:w="4320"/>
          </w:tcPr>
          <w:p>
            <w:r>
              <w:rPr>
                <w:b/>
              </w:rPr>
              <w:t>Informe HTML</w:t>
            </w:r>
          </w:p>
        </w:tc>
        <w:tc>
          <w:tcPr>
            <w:tcW w:type="dxa" w:w="4320"/>
          </w:tcPr>
          <w:p>
            <w:r>
              <w:t>/home/runner/work/bayesrisk/bayesrisk/.bayesrisk-demo-fixtures-f4/reports/ifrs9_ecl_report.html</w:t>
            </w:r>
          </w:p>
        </w:tc>
      </w:tr>
      <w:tr>
        <w:tc>
          <w:tcPr>
            <w:tcW w:type="dxa" w:w="4320"/>
          </w:tcPr>
          <w:p>
            <w:r>
              <w:rPr>
                <w:b/>
              </w:rPr>
              <w:t>Informe PDF</w:t>
            </w:r>
          </w:p>
        </w:tc>
        <w:tc>
          <w:tcPr>
            <w:tcW w:type="dxa" w:w="4320"/>
          </w:tcPr>
          <w:p>
            <w:r>
              <w:t>/home/runner/work/bayesrisk/bayesrisk/.bayesrisk-demo-fixtures-f4/reports/ifrs9_ecl_report.pdf (se escribe si el extra pdf está instalado)</w:t>
            </w:r>
          </w:p>
        </w:tc>
      </w:tr>
      <w:tr>
        <w:tc>
          <w:tcPr>
            <w:tcW w:type="dxa" w:w="4320"/>
          </w:tcPr>
          <w:p>
            <w:r>
              <w:rPr>
                <w:b/>
              </w:rPr>
              <w:t>Informe Word</w:t>
            </w:r>
          </w:p>
        </w:tc>
        <w:tc>
          <w:tcPr>
            <w:tcW w:type="dxa" w:w="4320"/>
          </w:tcPr>
          <w:p>
            <w:r>
              <w:t>/home/runner/work/bayesrisk/bayesrisk/.bayesrisk-demo-fixtures-f4/reports/ifrs9_ecl_report.docx (se escribe si el extra docx está instalado)</w:t>
            </w:r>
          </w:p>
        </w:tc>
      </w:tr>
      <w:tr>
        <w:tc>
          <w:tcPr>
            <w:tcW w:type="dxa" w:w="4320"/>
          </w:tcPr>
          <w:p>
            <w:r>
              <w:rPr>
                <w:b/>
              </w:rPr>
              <w:t>Fuente editable (Quarto)</w:t>
            </w:r>
          </w:p>
        </w:tc>
        <w:tc>
          <w:tcPr>
            <w:tcW w:type="dxa" w:w="4320"/>
          </w:tcPr>
          <w:p>
            <w:r>
              <w:t>/home/runner/work/bayesrisk/bayesrisk/.bayesrisk-demo-fixtures-f4/reports/ifrs9_ecl_report.qmd</w:t>
            </w:r>
          </w:p>
        </w:tc>
      </w:tr>
      <w:tr>
        <w:tc>
          <w:tcPr>
            <w:tcW w:type="dxa" w:w="4320"/>
          </w:tcPr>
          <w:p>
            <w:r>
              <w:rPr>
                <w:b/>
              </w:rPr>
              <w:t>Registro de auditoría</w:t>
            </w:r>
          </w:p>
        </w:tc>
        <w:tc>
          <w:tcPr>
            <w:tcW w:type="dxa" w:w="4320"/>
          </w:tcPr>
          <w:p>
            <w:r>
              <w:t>en la ruta que fija la sección audit del config</w:t>
            </w:r>
          </w:p>
        </w:tc>
      </w:tr>
    </w:tbl>
    <w:p>
      <w:r>
        <w:br w:type="page"/>
      </w:r>
    </w:p>
    <w:p>
      <w:pPr>
        <w:pStyle w:val="Heading1"/>
      </w:pPr>
      <w:r>
        <w:t>Índice</w:t>
      </w:r>
    </w:p>
    <w:p>
      <w:r>
        <w:fldChar w:fldCharType="begin"/>
        <w:instrText xml:space="preserve">TOC \o "1-3" \h \z \u</w:instrText>
        <w:fldChar w:fldCharType="separate"/>
        <w:t>Índice: clic derecho sobre este texto → «Actualizar campos» en Word.</w:t>
        <w:fldChar w:fldCharType="end"/>
      </w:r>
    </w:p>
    <w:p>
      <w:r>
        <w:br w:type="page"/>
      </w:r>
    </w:p>
    <w:p>
      <w:pPr>
        <w:pStyle w:val="Heading1"/>
      </w:pPr>
      <w:r>
        <w:t>Resumen ejecutivo</w:t>
      </w:r>
    </w:p>
    <w:p>
      <w:pPr>
        <w:shd w:val="clear" w:color="auto" w:fill="FFF3CD"/>
      </w:pPr>
      <w:r>
        <w:rPr>
          <w:b w:val="0"/>
        </w:rPr>
        <w:t>POR COMPLETAR — Veredicto de validación: Aprobado · Aprobado con observaciones · Rechazado. Campo estructural: lo marca y firma el validador independiente; no es un resultado calculado por el motor.</w:t>
      </w:r>
    </w:p>
    <w:tbl>
      <w:tblPr>
        <w:tblStyle w:val="TableGrid"/>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t>Métrica</w:t>
            </w:r>
          </w:p>
        </w:tc>
        <w:tc>
          <w:tcPr>
            <w:tcW w:type="dxa" w:w="2160"/>
          </w:tcPr>
          <w:p>
            <w:r>
              <w:rPr>
                <w:b/>
              </w:rPr>
              <w:t>Alcance</w:t>
            </w:r>
          </w:p>
        </w:tc>
        <w:tc>
          <w:tcPr>
            <w:tcW w:type="dxa" w:w="2160"/>
          </w:tcPr>
          <w:p>
            <w:r>
              <w:rPr>
                <w:b/>
              </w:rPr>
              <w:t>Valor</w:t>
            </w:r>
          </w:p>
        </w:tc>
        <w:tc>
          <w:tcPr>
            <w:tcW w:type="dxa" w:w="2160"/>
          </w:tcPr>
          <w:p>
            <w:r>
              <w:rPr>
                <w:b/>
              </w:rPr>
              <w:t>Estado</w:t>
            </w:r>
          </w:p>
        </w:tc>
      </w:tr>
      <w:tr>
        <w:trPr>
          <w:cantSplit/>
        </w:trPr>
        <w:tc>
          <w:tcPr>
            <w:tcW w:type="dxa" w:w="2160"/>
          </w:tcPr>
          <w:p>
            <w:r>
              <w:t>ECL reportada (IFRS 9)</w:t>
            </w:r>
          </w:p>
        </w:tc>
        <w:tc>
          <w:tcPr>
            <w:tcW w:type="dxa" w:w="2160"/>
          </w:tcPr>
          <w:p>
            <w:r>
              <w:t>Cartera total</w:t>
            </w:r>
          </w:p>
        </w:tc>
        <w:tc>
          <w:tcPr>
            <w:tcW w:type="dxa" w:w="2160"/>
          </w:tcPr>
          <w:p>
            <w:r>
              <w:t>$4.786.739</w:t>
            </w:r>
          </w:p>
        </w:tc>
        <w:tc>
          <w:tcPr>
            <w:tcW w:type="dxa" w:w="2160"/>
          </w:tcPr>
          <w:p>
            <w:r>
              <w:t>Cifra contable</w:t>
            </w:r>
          </w:p>
        </w:tc>
      </w:tr>
      <w:tr>
        <w:trPr>
          <w:cantSplit/>
        </w:trPr>
        <w:tc>
          <w:tcPr>
            <w:tcW w:type="dxa" w:w="2160"/>
          </w:tcPr>
          <w:p>
            <w:r>
              <w:t>Exposición al incumplimiento (EAD)</w:t>
            </w:r>
          </w:p>
        </w:tc>
        <w:tc>
          <w:tcPr>
            <w:tcW w:type="dxa" w:w="2160"/>
          </w:tcPr>
          <w:p>
            <w:r>
              <w:t>Cartera total</w:t>
            </w:r>
          </w:p>
        </w:tc>
        <w:tc>
          <w:tcPr>
            <w:tcW w:type="dxa" w:w="2160"/>
          </w:tcPr>
          <w:p>
            <w:r>
              <w:t>$114.325.315</w:t>
            </w:r>
          </w:p>
        </w:tc>
        <w:tc>
          <w:tcPr>
            <w:tcW w:type="dxa" w:w="2160"/>
          </w:tcPr>
          <w:p>
            <w:r>
              <w:t>Cifra contable</w:t>
            </w:r>
          </w:p>
        </w:tc>
      </w:tr>
      <w:tr>
        <w:trPr>
          <w:cantSplit/>
        </w:trPr>
        <w:tc>
          <w:tcPr>
            <w:tcW w:type="dxa" w:w="2160"/>
          </w:tcPr>
          <w:p>
            <w:r>
              <w:t>Cobertura ECL / EAD</w:t>
            </w:r>
          </w:p>
        </w:tc>
        <w:tc>
          <w:tcPr>
            <w:tcW w:type="dxa" w:w="2160"/>
          </w:tcPr>
          <w:p>
            <w:r>
              <w:t>Cartera total</w:t>
            </w:r>
          </w:p>
        </w:tc>
        <w:tc>
          <w:tcPr>
            <w:tcW w:type="dxa" w:w="2160"/>
          </w:tcPr>
          <w:p>
            <w:r>
              <w:t>4,19 %</w:t>
            </w:r>
          </w:p>
        </w:tc>
        <w:tc>
          <w:tcPr>
            <w:tcW w:type="dxa" w:w="2160"/>
          </w:tcPr>
          <w:p>
            <w:r>
              <w:t>Cifra contable</w:t>
            </w:r>
          </w:p>
        </w:tc>
      </w:tr>
      <w:tr>
        <w:trPr>
          <w:cantSplit/>
        </w:trPr>
        <w:tc>
          <w:tcPr>
            <w:tcW w:type="dxa" w:w="2160"/>
          </w:tcPr>
          <w:p>
            <w:r>
              <w:t>Staging (Stage 1 / 2 / 3)</w:t>
            </w:r>
          </w:p>
        </w:tc>
        <w:tc>
          <w:tcPr>
            <w:tcW w:type="dxa" w:w="2160"/>
          </w:tcPr>
          <w:p>
            <w:r>
              <w:t>Operaciones</w:t>
            </w:r>
          </w:p>
        </w:tc>
        <w:tc>
          <w:tcPr>
            <w:tcW w:type="dxa" w:w="2160"/>
          </w:tcPr>
          <w:p>
            <w:r>
              <w:t>5.235 / 477 / 288</w:t>
            </w:r>
          </w:p>
        </w:tc>
        <w:tc>
          <w:tcPr>
            <w:tcW w:type="dxa" w:w="2160"/>
          </w:tcPr>
          <w:p>
            <w:r>
              <w:t>Cifra contable</w:t>
            </w:r>
          </w:p>
        </w:tc>
      </w:tr>
    </w:tbl>
    <w:p>
      <w:r>
        <w:rPr>
          <w:i/>
        </w:rPr>
        <w:t>Las cifras IFRS 9 son el cálculo contable que reportó el motor (función experimental), no bandas de validación: la columna Estado no les aplica semáforo.</w:t>
      </w:r>
    </w:p>
    <w:p>
      <w:pPr>
        <w:pStyle w:val="Heading1"/>
      </w:pPr>
      <w:r>
        <w:t>1 Introducción</w:t>
      </w:r>
    </w:p>
    <w:p>
      <w:pPr>
        <w:shd w:val="clear" w:color="auto" w:fill="FFF3CD"/>
      </w:pPr>
      <w:r>
        <w:rPr>
          <w:b/>
        </w:rPr>
        <w:t>POR COMPLETAR — Introducción</w:t>
      </w:r>
    </w:p>
    <w:p>
      <w:pPr>
        <w:shd w:val="clear" w:color="auto" w:fill="FFF3CD"/>
      </w:pPr>
      <w:r>
        <w:rPr>
          <w:b w:val="0"/>
        </w:rPr>
        <w:t>Declara el propósito del informe y qué decisión habilita: ¿es una validación inicial previa a la puesta en producción, una revisión periódica o un recalibrado?</w:t>
      </w:r>
    </w:p>
    <w:p>
      <w:pPr>
        <w:shd w:val="clear" w:color="auto" w:fill="FFF3CD"/>
      </w:pPr>
      <w:r>
        <w:rPr>
          <w:b w:val="0"/>
        </w:rPr>
        <w:t>Delimita el alcance (qué modelo y qué cartera cubre, qué queda fuera) e identifica la audiencia: Validación independiente, Comité de Riesgo, regulador.</w:t>
      </w:r>
    </w:p>
    <w:p>
      <w:pPr>
        <w:pStyle w:val="Heading1"/>
      </w:pPr>
      <w:r>
        <w:t>2 Contexto del modelo y de la cartera</w:t>
      </w:r>
    </w:p>
    <w:p>
      <w:r>
        <w:t>La población procesada contiene 6.000 observaciones, 17 variables de entrada y una tasa de incumplimiento de 9,63 %. Los conteos por estado, partición y motivo de exclusión se reproducen literalmente en las tablas de esta sección.</w:t>
      </w:r>
    </w:p>
    <w:p>
      <w:r>
        <w:t>La columna objetivo de esta corrida es «target».</w:t>
      </w:r>
    </w:p>
    <w:p>
      <w:r>
        <w:t>La cartera se dividió en muestras al preparar los datos, pero ninguna etapa de esta corrida se apoyó en esa división: la tabla de particiones de este capítulo describe la cartera, no una muestra de trabajo.</w:t>
      </w:r>
    </w:p>
    <w:p>
      <w:pPr>
        <w:shd w:val="clear" w:color="auto" w:fill="FFF3CD"/>
      </w:pPr>
      <w:r>
        <w:rPr>
          <w:b/>
        </w:rPr>
        <w:t>POR COMPLETAR — Contexto del modelo</w:t>
      </w:r>
    </w:p>
    <w:p>
      <w:pPr>
        <w:shd w:val="clear" w:color="auto" w:fill="FFF3CD"/>
      </w:pPr>
      <w:r>
        <w:rPr>
          <w:b w:val="0"/>
        </w:rPr>
        <w:t>Describe la cartera sobre la que se construyó el modelo: producto, segmento, volumen y período.</w:t>
      </w:r>
    </w:p>
    <w:p>
      <w:pPr>
        <w:shd w:val="clear" w:color="auto" w:fill="FFF3CD"/>
      </w:pPr>
      <w:r>
        <w:rPr>
          <w:b w:val="0"/>
        </w:rPr>
        <w:t>Explicita la definición de incumplimiento utilizada (p. ej. 90+ días de mora) y por qué; declara las exclusiones aplicadas a la población y su justificación.</w:t>
      </w:r>
    </w:p>
    <w:p>
      <w:pPr>
        <w:pStyle w:val="Heading2"/>
      </w:pPr>
      <w:r>
        <w:t>2.1 Población, particiones y exclusiones</w:t>
      </w:r>
    </w:p>
    <w:p>
      <w:r>
        <w:t>Las tablas siguientes reproducen lo que dejó la preparación de datos de esta corrida. Estados, tamaños y tasas por partición, y exclusiones se copian literalmente; el informe no recalcula ni completa valores ausentes.</w:t>
      </w:r>
    </w:p>
    <w:p>
      <w:r>
        <w:rPr>
          <w:b/>
          <w:sz w:val="18"/>
        </w:rPr>
        <w:t>Estados de la población</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Pr>
          <w:p>
            <w:r>
              <w:rPr>
                <w:b/>
              </w:rPr>
              <w:t>Estado</w:t>
            </w:r>
          </w:p>
        </w:tc>
        <w:tc>
          <w:tcPr>
            <w:tcW w:type="dxa" w:w="4320"/>
          </w:tcPr>
          <w:p>
            <w:pPr>
              <w:jc w:val="right"/>
            </w:pPr>
            <w:r>
              <w:rPr>
                <w:b/>
              </w:rPr>
              <w:t>Observaciones</w:t>
            </w:r>
          </w:p>
        </w:tc>
      </w:tr>
      <w:tr>
        <w:trPr>
          <w:cantSplit/>
        </w:trPr>
        <w:tc>
          <w:tcPr>
            <w:tcW w:type="dxa" w:w="4320"/>
          </w:tcPr>
          <w:p>
            <w:r>
              <w:t>bueno</w:t>
            </w:r>
          </w:p>
        </w:tc>
        <w:tc>
          <w:tcPr>
            <w:tcW w:type="dxa" w:w="4320"/>
          </w:tcPr>
          <w:p>
            <w:pPr>
              <w:jc w:val="right"/>
            </w:pPr>
            <w:r>
              <w:t>5.422</w:t>
            </w:r>
          </w:p>
        </w:tc>
      </w:tr>
      <w:tr>
        <w:trPr>
          <w:cantSplit/>
        </w:trPr>
        <w:tc>
          <w:tcPr>
            <w:tcW w:type="dxa" w:w="4320"/>
          </w:tcPr>
          <w:p>
            <w:r>
              <w:t>malo</w:t>
            </w:r>
          </w:p>
        </w:tc>
        <w:tc>
          <w:tcPr>
            <w:tcW w:type="dxa" w:w="4320"/>
          </w:tcPr>
          <w:p>
            <w:pPr>
              <w:jc w:val="right"/>
            </w:pPr>
            <w:r>
              <w:t>578</w:t>
            </w:r>
          </w:p>
        </w:tc>
      </w:tr>
      <w:tr>
        <w:trPr>
          <w:cantSplit/>
        </w:trPr>
        <w:tc>
          <w:tcPr>
            <w:tcW w:type="dxa" w:w="4320"/>
          </w:tcPr>
          <w:p>
            <w:r>
              <w:t>indeterminado</w:t>
            </w:r>
          </w:p>
        </w:tc>
        <w:tc>
          <w:tcPr>
            <w:tcW w:type="dxa" w:w="4320"/>
          </w:tcPr>
          <w:p>
            <w:pPr>
              <w:jc w:val="right"/>
            </w:pPr>
            <w:r>
              <w:t>0</w:t>
            </w:r>
          </w:p>
        </w:tc>
      </w:tr>
      <w:tr>
        <w:trPr>
          <w:cantSplit/>
        </w:trPr>
        <w:tc>
          <w:tcPr>
            <w:tcW w:type="dxa" w:w="4320"/>
          </w:tcPr>
          <w:p>
            <w:r>
              <w:t>excluido</w:t>
            </w:r>
          </w:p>
        </w:tc>
        <w:tc>
          <w:tcPr>
            <w:tcW w:type="dxa" w:w="4320"/>
          </w:tcPr>
          <w:p>
            <w:pPr>
              <w:jc w:val="right"/>
            </w:pPr>
            <w:r>
              <w:t>0</w:t>
            </w:r>
          </w:p>
        </w:tc>
      </w:tr>
    </w:tbl>
    <w:p>
      <w:r>
        <w:rPr>
          <w:b/>
          <w:sz w:val="18"/>
        </w:rPr>
        <w:t>Particiones de modelamiento</w:t>
      </w:r>
    </w:p>
    <w:tbl>
      <w:tblPr>
        <w:tblStyle w:val="TableGrid"/>
        <w:tblW w:type="auto" w:w="0"/>
        <w:tblLook w:firstColumn="1" w:firstRow="1" w:lastColumn="0" w:lastRow="0" w:noHBand="0" w:noVBand="1" w:val="04A0"/>
      </w:tblPr>
      <w:tblGrid>
        <w:gridCol w:w="2880"/>
        <w:gridCol w:w="2880"/>
        <w:gridCol w:w="2880"/>
      </w:tblGrid>
      <w:tr>
        <w:trPr>
          <w:tblHeader/>
          <w:cantSplit/>
        </w:trPr>
        <w:tc>
          <w:tcPr>
            <w:tcW w:type="dxa" w:w="2880"/>
          </w:tcPr>
          <w:p>
            <w:r>
              <w:rPr>
                <w:b/>
              </w:rPr>
              <w:t>Partición</w:t>
            </w:r>
          </w:p>
        </w:tc>
        <w:tc>
          <w:tcPr>
            <w:tcW w:type="dxa" w:w="2880"/>
          </w:tcPr>
          <w:p>
            <w:pPr>
              <w:jc w:val="right"/>
            </w:pPr>
            <w:r>
              <w:rPr>
                <w:b/>
              </w:rPr>
              <w:t>Observaciones</w:t>
            </w:r>
          </w:p>
        </w:tc>
        <w:tc>
          <w:tcPr>
            <w:tcW w:type="dxa" w:w="2880"/>
          </w:tcPr>
          <w:p>
            <w:pPr>
              <w:jc w:val="right"/>
            </w:pPr>
            <w:r>
              <w:rPr>
                <w:b/>
              </w:rPr>
              <w:t>Tasa de incumplimiento</w:t>
            </w:r>
          </w:p>
        </w:tc>
      </w:tr>
      <w:tr>
        <w:trPr>
          <w:cantSplit/>
        </w:trPr>
        <w:tc>
          <w:tcPr>
            <w:tcW w:type="dxa" w:w="2880"/>
          </w:tcPr>
          <w:p>
            <w:r>
              <w:t>Desarrollo</w:t>
            </w:r>
          </w:p>
        </w:tc>
        <w:tc>
          <w:tcPr>
            <w:tcW w:type="dxa" w:w="2880"/>
          </w:tcPr>
          <w:p>
            <w:pPr>
              <w:jc w:val="right"/>
            </w:pPr>
            <w:r>
              <w:t>4.024</w:t>
            </w:r>
          </w:p>
        </w:tc>
        <w:tc>
          <w:tcPr>
            <w:tcW w:type="dxa" w:w="2880"/>
          </w:tcPr>
          <w:p>
            <w:pPr>
              <w:jc w:val="right"/>
            </w:pPr>
            <w:r>
              <w:t>0,0964</w:t>
            </w:r>
          </w:p>
        </w:tc>
      </w:tr>
      <w:tr>
        <w:trPr>
          <w:cantSplit/>
        </w:trPr>
        <w:tc>
          <w:tcPr>
            <w:tcW w:type="dxa" w:w="2880"/>
          </w:tcPr>
          <w:p>
            <w:r>
              <w:t>Holdout</w:t>
            </w:r>
          </w:p>
        </w:tc>
        <w:tc>
          <w:tcPr>
            <w:tcW w:type="dxa" w:w="2880"/>
          </w:tcPr>
          <w:p>
            <w:pPr>
              <w:jc w:val="right"/>
            </w:pPr>
            <w:r>
              <w:t>1.030</w:t>
            </w:r>
          </w:p>
        </w:tc>
        <w:tc>
          <w:tcPr>
            <w:tcW w:type="dxa" w:w="2880"/>
          </w:tcPr>
          <w:p>
            <w:pPr>
              <w:jc w:val="right"/>
            </w:pPr>
            <w:r>
              <w:t>0,1000</w:t>
            </w:r>
          </w:p>
        </w:tc>
      </w:tr>
      <w:tr>
        <w:trPr>
          <w:cantSplit/>
        </w:trPr>
        <w:tc>
          <w:tcPr>
            <w:tcW w:type="dxa" w:w="2880"/>
          </w:tcPr>
          <w:p>
            <w:r>
              <w:t>Fuera de tiempo (OOT)</w:t>
            </w:r>
          </w:p>
        </w:tc>
        <w:tc>
          <w:tcPr>
            <w:tcW w:type="dxa" w:w="2880"/>
          </w:tcPr>
          <w:p>
            <w:pPr>
              <w:jc w:val="right"/>
            </w:pPr>
            <w:r>
              <w:t>946</w:t>
            </w:r>
          </w:p>
        </w:tc>
        <w:tc>
          <w:tcPr>
            <w:tcW w:type="dxa" w:w="2880"/>
          </w:tcPr>
          <w:p>
            <w:pPr>
              <w:jc w:val="right"/>
            </w:pPr>
            <w:r>
              <w:t>0,09197</w:t>
            </w:r>
          </w:p>
        </w:tc>
      </w:tr>
      <w:tr>
        <w:trPr>
          <w:cantSplit/>
        </w:trPr>
        <w:tc>
          <w:tcPr>
            <w:tcW w:type="dxa" w:w="2880"/>
          </w:tcPr>
          <w:p>
            <w:r>
              <w:t>Fuera del ajuste</w:t>
            </w:r>
          </w:p>
        </w:tc>
        <w:tc>
          <w:tcPr>
            <w:tcW w:type="dxa" w:w="2880"/>
          </w:tcPr>
          <w:p>
            <w:pPr>
              <w:jc w:val="right"/>
            </w:pPr>
            <w:r>
              <w:t>0</w:t>
            </w:r>
          </w:p>
        </w:tc>
        <w:tc>
          <w:tcPr>
            <w:tcW w:type="dxa" w:w="2880"/>
          </w:tcPr>
          <w:p>
            <w:pPr>
              <w:jc w:val="right"/>
            </w:pPr>
            <w:r>
              <w:t>0,0000</w:t>
            </w:r>
          </w:p>
        </w:tc>
      </w:tr>
    </w:tbl>
    <w:p>
      <w:r>
        <w:rPr>
          <w:b/>
          <w:sz w:val="18"/>
        </w:rPr>
        <w:t>Exclusiones aplicadas</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Pr>
          <w:p>
            <w:r>
              <w:rPr>
                <w:b/>
              </w:rPr>
              <w:t>Motivo</w:t>
            </w:r>
          </w:p>
        </w:tc>
        <w:tc>
          <w:tcPr>
            <w:tcW w:type="dxa" w:w="4320"/>
          </w:tcPr>
          <w:p>
            <w:r>
              <w:rPr>
                <w:b/>
              </w:rPr>
              <w:t>Exclusiones</w:t>
            </w:r>
          </w:p>
        </w:tc>
      </w:tr>
    </w:tbl>
    <w:p>
      <w:pPr>
        <w:pStyle w:val="Heading1"/>
      </w:pPr>
      <w:r>
        <w:t>3 Metodología</w:t>
      </w:r>
    </w:p>
    <w:p>
      <w:r>
        <w:t>Esta corrida no ejecutó etapas de construcción de scorecard (segmentación, selección, modelo, calibración): este capítulo describe únicamente las etapas que sí corrieron, con los parámetros efectivos que constan en el config trazado en el Anexo A. La metodología de los cálculos de dominio se describe en su capítulo correspondiente.</w:t>
      </w:r>
    </w:p>
    <w:p>
      <w:pPr>
        <w:pStyle w:val="Heading2"/>
      </w:pPr>
      <w:r>
        <w:t>3.1 Tratamiento de datos y particiones</w:t>
      </w:r>
    </w:p>
    <w:p>
      <w:r>
        <w:t>El dataset se validó contra un esquema declarado de 8 columnas, con tipos y nulabilidad explícitos; una desviación del esquema detiene la corrida en vez de propagarse.</w:t>
      </w:r>
    </w:p>
    <w:p>
      <w:r>
        <w:t>En el tratamiento de faltantes se reporta para revisión toda variable con más de 99,00 % de valores faltantes, sin eliminarla automáticamente.</w:t>
      </w:r>
    </w:p>
    <w:p>
      <w:pPr>
        <w:pStyle w:val="Heading2"/>
      </w:pPr>
      <w:r>
        <w:t>3.2 Ficha metodológica IFRS 9 / ECL</w:t>
      </w:r>
    </w:p>
    <w:p>
      <w:r>
        <w:t>Esta ficha metodológica se deriva de la configuración efectiva y de lo que dejó publicado cada etapa de la corrida; no replica parámetros ni supone que una capacidad configurada se ejecutó.</w:t>
      </w:r>
    </w:p>
    <w:p>
      <w:r>
        <w:t>Activo en esta corrida:</w:t>
      </w:r>
    </w:p>
    <w:p>
      <w:r>
        <w:t>Curva PD lifetime: Discrete-time hazard. 6.000 filas · 1.502 eventos · horizonte 5 años</w:t>
      </w:r>
    </w:p>
    <w:p>
      <w:r>
        <w:t>Base de PD: TTC (through-the-cycle). La term-structure activa proviene de survival.</w:t>
      </w:r>
    </w:p>
    <w:p>
      <w:r>
        <w:t>LGD y EAD: LGD provided · EAD provided. La EAD se mantiene constante por período: no se modela la amortización del crédito.</w:t>
      </w:r>
    </w:p>
    <w:p>
      <w:r>
        <w:t>Staging: 30/90 días + is_default. Stage 2 desde 30 días; Stage 3 desde 90 días o is_default.</w:t>
      </w:r>
    </w:p>
    <w:p>
      <w:r>
        <w:t>Escenario de cálculo: Base 100 %. Escenario único; no hay ponderación macroeconómica múltiple.</w:t>
      </w:r>
    </w:p>
    <w:p>
      <w:r>
        <w:t>Descuento: EIR anual. Descuento período a período con la columna eir. Los plazos de la curva se convierten a años según la unidad temporal que ella declara; si no la declara, se asumen años y queda constancia en el resultado.</w:t>
      </w:r>
    </w:p>
    <w:p>
      <w:r>
        <w:t>Capacidad no ejercida en esta corrida:</w:t>
      </w:r>
    </w:p>
    <w:p>
      <w:r>
        <w:t>Forward-looking: Capacidad no ejercida. La sección forward está inactiva y no condiciona la PD de esta corrida.</w:t>
      </w:r>
    </w:p>
    <w:p>
      <w:r>
        <w:t>Escenarios macroeconómicos múltiples: Capacidad no ejercida. La corrida usa un único escenario base, sin ponderación macro múltiple.</w:t>
      </w:r>
    </w:p>
    <w:p>
      <w:r>
        <w:t>Matrices de transición Markov: Capacidad no ejercida. La term-structure activa proviene de survival, no de Markov.</w:t>
      </w:r>
    </w:p>
    <w:p>
      <w:r>
        <w:t>Trazabilidad — artefactos de origen: config.survival, survival.card, config.provisioning_ifrs9, provisioning_ifrs9.card.</w:t>
      </w:r>
    </w:p>
    <w:p>
      <w:pPr>
        <w:pStyle w:val="Heading1"/>
      </w:pPr>
      <w:r>
        <w:t>4 Provisiones IFRS 9 / ECL</w:t>
      </w:r>
    </w:p>
    <w:p>
      <w:r>
        <w:t>IFRS 9 (NIIF 9) exige reconocer provisiones por pérdida crediticia esperada (ECL) según el deterioro relativo de cada exposición: las operaciones sin aumento significativo del riesgo (Stage 1) provisionan la pérdida esperada a 12 meses, y las que lo presentan o ya están deterioradas (Stage 2 y 3) provisionan la pérdida esperada de por vida (IFRS 9 5.5.3 y 5.5.5). Este capítulo reporta el cálculo sobre la cartera de la corrida.</w:t>
      </w:r>
    </w:p>
    <w:p>
      <w:r>
        <w:t>Sobre una exposición al incumplimiento (EAD) de $114.325.315, la pérdida crediticia esperada a constituir es $4.786.739, una cobertura del 4,19 %. Fecha de corte: 2025-06-30.</w:t>
      </w:r>
    </w:p>
    <w:p>
      <w:r>
        <w:t>De las 6.000 operaciones de la cartera, 5.235 clasifican en Stage 1, 477 en Stage 2 y 288 en Stage 3.</w:t>
      </w:r>
    </w:p>
    <w:p>
      <w:r>
        <w:t>El cálculo IFRS 9 es una función experimental: los números son trazables y deterministas, pero su interfaz puede cambiar en próximas versiones de la librería.</w:t>
      </w:r>
    </w:p>
    <w:p>
      <w:pPr>
        <w:pStyle w:val="Heading2"/>
      </w:pPr>
      <w:r>
        <w:t>4.1 Supervivencia y curva PD lifetime</w:t>
      </w:r>
    </w:p>
    <w:p>
      <w:r>
        <w:t>La curva de PD de por vida que estimó el modelo de supervivencia sobre la historia de incumplimientos de la propia cartera.</w:t>
      </w:r>
    </w:p>
    <w:p>
      <w:r>
        <w:t>La primera tabla da la PD acumulada al cierre de cada período de la curva, como promedio simple de las operaciones de cada cartera y de toda la cartera: no pondera por exposición.</w:t>
      </w:r>
    </w:p>
    <w:p>
      <w:r>
        <w:t>La tabla de coeficientes da el ajuste: un coeficiente positivo sube la probabilidad de incumplir en cada período y uno negativo la baja; los términos de período son el nivel base de cada uno, y el error estándar y el p-valor dicen cuán distinguible de cero es cada efecto.</w:t>
      </w:r>
    </w:p>
    <w:p>
      <w:r>
        <w:t>La provisión de este capítulo parte de esta curva tal cual, a lo largo del ciclo.</w:t>
      </w:r>
    </w:p>
    <w:p>
      <w:r>
        <w:rPr>
          <w:b/>
          <w:sz w:val="18"/>
        </w:rPr>
        <w:t>PD acumulada por período y cartera (promedio de las operaciones)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1234"/>
          </w:tcPr>
          <w:p>
            <w:pPr>
              <w:jc w:val="right"/>
            </w:pPr>
            <w:r>
              <w:rPr>
                <w:b/>
              </w:rPr>
              <w:t>Período</w:t>
            </w:r>
          </w:p>
        </w:tc>
        <w:tc>
          <w:tcPr>
            <w:tcW w:type="dxa" w:w="1234"/>
          </w:tcPr>
          <w:p>
            <w:r>
              <w:rPr>
                <w:b/>
              </w:rPr>
              <w:t>Plazo</w:t>
            </w:r>
          </w:p>
        </w:tc>
        <w:tc>
          <w:tcPr>
            <w:tcW w:type="dxa" w:w="1234"/>
          </w:tcPr>
          <w:p>
            <w:pPr>
              <w:jc w:val="right"/>
            </w:pPr>
            <w:r>
              <w:rPr>
                <w:b/>
              </w:rPr>
              <w:t>Comercial</w:t>
            </w:r>
          </w:p>
        </w:tc>
        <w:tc>
          <w:tcPr>
            <w:tcW w:type="dxa" w:w="1234"/>
          </w:tcPr>
          <w:p>
            <w:pPr>
              <w:jc w:val="right"/>
            </w:pPr>
            <w:r>
              <w:rPr>
                <w:b/>
              </w:rPr>
              <w:t>Consumo</w:t>
            </w:r>
          </w:p>
        </w:tc>
        <w:tc>
          <w:tcPr>
            <w:tcW w:type="dxa" w:w="1234"/>
          </w:tcPr>
          <w:p>
            <w:pPr>
              <w:jc w:val="right"/>
            </w:pPr>
            <w:r>
              <w:rPr>
                <w:b/>
              </w:rPr>
              <w:t>Hipotecario</w:t>
            </w:r>
          </w:p>
        </w:tc>
        <w:tc>
          <w:tcPr>
            <w:tcW w:type="dxa" w:w="1234"/>
          </w:tcPr>
          <w:p>
            <w:pPr>
              <w:jc w:val="right"/>
            </w:pPr>
            <w:r>
              <w:rPr>
                <w:b/>
              </w:rPr>
              <w:t>Tarjetas</w:t>
            </w:r>
          </w:p>
        </w:tc>
        <w:tc>
          <w:tcPr>
            <w:tcW w:type="dxa" w:w="1234"/>
          </w:tcPr>
          <w:p>
            <w:pPr>
              <w:jc w:val="right"/>
            </w:pPr>
            <w:r>
              <w:rPr>
                <w:b/>
              </w:rPr>
              <w:t>Toda la cartera</w:t>
            </w:r>
          </w:p>
        </w:tc>
      </w:tr>
      <w:tr>
        <w:trPr>
          <w:cantSplit/>
        </w:trPr>
        <w:tc>
          <w:tcPr>
            <w:tcW w:type="dxa" w:w="1234"/>
          </w:tcPr>
          <w:p>
            <w:pPr>
              <w:jc w:val="right"/>
            </w:pPr>
            <w:r>
              <w:t>1</w:t>
            </w:r>
          </w:p>
        </w:tc>
        <w:tc>
          <w:tcPr>
            <w:tcW w:type="dxa" w:w="1234"/>
          </w:tcPr>
          <w:p>
            <w:r>
              <w:t>1 año</w:t>
            </w:r>
          </w:p>
        </w:tc>
        <w:tc>
          <w:tcPr>
            <w:tcW w:type="dxa" w:w="1234"/>
          </w:tcPr>
          <w:p>
            <w:pPr>
              <w:jc w:val="right"/>
            </w:pPr>
            <w:r>
              <w:t>0,0638</w:t>
            </w:r>
          </w:p>
        </w:tc>
        <w:tc>
          <w:tcPr>
            <w:tcW w:type="dxa" w:w="1234"/>
          </w:tcPr>
          <w:p>
            <w:pPr>
              <w:jc w:val="right"/>
            </w:pPr>
            <w:r>
              <w:t>0,0618</w:t>
            </w:r>
          </w:p>
        </w:tc>
        <w:tc>
          <w:tcPr>
            <w:tcW w:type="dxa" w:w="1234"/>
          </w:tcPr>
          <w:p>
            <w:pPr>
              <w:jc w:val="right"/>
            </w:pPr>
            <w:r>
              <w:t>0,0622</w:t>
            </w:r>
          </w:p>
        </w:tc>
        <w:tc>
          <w:tcPr>
            <w:tcW w:type="dxa" w:w="1234"/>
          </w:tcPr>
          <w:p>
            <w:pPr>
              <w:jc w:val="right"/>
            </w:pPr>
            <w:r>
              <w:t>0,0623</w:t>
            </w:r>
          </w:p>
        </w:tc>
        <w:tc>
          <w:tcPr>
            <w:tcW w:type="dxa" w:w="1234"/>
          </w:tcPr>
          <w:p>
            <w:pPr>
              <w:jc w:val="right"/>
            </w:pPr>
            <w:r>
              <w:t>0,0623</w:t>
            </w:r>
          </w:p>
        </w:tc>
      </w:tr>
      <w:tr>
        <w:trPr>
          <w:cantSplit/>
        </w:trPr>
        <w:tc>
          <w:tcPr>
            <w:tcW w:type="dxa" w:w="1234"/>
          </w:tcPr>
          <w:p>
            <w:pPr>
              <w:jc w:val="right"/>
            </w:pPr>
            <w:r>
              <w:t>2</w:t>
            </w:r>
          </w:p>
        </w:tc>
        <w:tc>
          <w:tcPr>
            <w:tcW w:type="dxa" w:w="1234"/>
          </w:tcPr>
          <w:p>
            <w:r>
              <w:t>2 años</w:t>
            </w:r>
          </w:p>
        </w:tc>
        <w:tc>
          <w:tcPr>
            <w:tcW w:type="dxa" w:w="1234"/>
          </w:tcPr>
          <w:p>
            <w:pPr>
              <w:jc w:val="right"/>
            </w:pPr>
            <w:r>
              <w:t>0,1216</w:t>
            </w:r>
          </w:p>
        </w:tc>
        <w:tc>
          <w:tcPr>
            <w:tcW w:type="dxa" w:w="1234"/>
          </w:tcPr>
          <w:p>
            <w:pPr>
              <w:jc w:val="right"/>
            </w:pPr>
            <w:r>
              <w:t>0,1179</w:t>
            </w:r>
          </w:p>
        </w:tc>
        <w:tc>
          <w:tcPr>
            <w:tcW w:type="dxa" w:w="1234"/>
          </w:tcPr>
          <w:p>
            <w:pPr>
              <w:jc w:val="right"/>
            </w:pPr>
            <w:r>
              <w:t>0,1184</w:t>
            </w:r>
          </w:p>
        </w:tc>
        <w:tc>
          <w:tcPr>
            <w:tcW w:type="dxa" w:w="1234"/>
          </w:tcPr>
          <w:p>
            <w:pPr>
              <w:jc w:val="right"/>
            </w:pPr>
            <w:r>
              <w:t>0,1189</w:t>
            </w:r>
          </w:p>
        </w:tc>
        <w:tc>
          <w:tcPr>
            <w:tcW w:type="dxa" w:w="1234"/>
          </w:tcPr>
          <w:p>
            <w:pPr>
              <w:jc w:val="right"/>
            </w:pPr>
            <w:r>
              <w:t>0,1188</w:t>
            </w:r>
          </w:p>
        </w:tc>
      </w:tr>
      <w:tr>
        <w:trPr>
          <w:cantSplit/>
        </w:trPr>
        <w:tc>
          <w:tcPr>
            <w:tcW w:type="dxa" w:w="1234"/>
          </w:tcPr>
          <w:p>
            <w:pPr>
              <w:jc w:val="right"/>
            </w:pPr>
            <w:r>
              <w:t>3</w:t>
            </w:r>
          </w:p>
        </w:tc>
        <w:tc>
          <w:tcPr>
            <w:tcW w:type="dxa" w:w="1234"/>
          </w:tcPr>
          <w:p>
            <w:r>
              <w:t>3 años</w:t>
            </w:r>
          </w:p>
        </w:tc>
        <w:tc>
          <w:tcPr>
            <w:tcW w:type="dxa" w:w="1234"/>
          </w:tcPr>
          <w:p>
            <w:pPr>
              <w:jc w:val="right"/>
            </w:pPr>
            <w:r>
              <w:t>0,1701</w:t>
            </w:r>
          </w:p>
        </w:tc>
        <w:tc>
          <w:tcPr>
            <w:tcW w:type="dxa" w:w="1234"/>
          </w:tcPr>
          <w:p>
            <w:pPr>
              <w:jc w:val="right"/>
            </w:pPr>
            <w:r>
              <w:t>0,1648</w:t>
            </w:r>
          </w:p>
        </w:tc>
        <w:tc>
          <w:tcPr>
            <w:tcW w:type="dxa" w:w="1234"/>
          </w:tcPr>
          <w:p>
            <w:pPr>
              <w:jc w:val="right"/>
            </w:pPr>
            <w:r>
              <w:t>0,1654</w:t>
            </w:r>
          </w:p>
        </w:tc>
        <w:tc>
          <w:tcPr>
            <w:tcW w:type="dxa" w:w="1234"/>
          </w:tcPr>
          <w:p>
            <w:pPr>
              <w:jc w:val="right"/>
            </w:pPr>
            <w:r>
              <w:t>0,1663</w:t>
            </w:r>
          </w:p>
        </w:tc>
        <w:tc>
          <w:tcPr>
            <w:tcW w:type="dxa" w:w="1234"/>
          </w:tcPr>
          <w:p>
            <w:pPr>
              <w:jc w:val="right"/>
            </w:pPr>
            <w:r>
              <w:t>0,1661</w:t>
            </w:r>
          </w:p>
        </w:tc>
      </w:tr>
      <w:tr>
        <w:trPr>
          <w:cantSplit/>
        </w:trPr>
        <w:tc>
          <w:tcPr>
            <w:tcW w:type="dxa" w:w="1234"/>
          </w:tcPr>
          <w:p>
            <w:pPr>
              <w:jc w:val="right"/>
            </w:pPr>
            <w:r>
              <w:t>4</w:t>
            </w:r>
          </w:p>
        </w:tc>
        <w:tc>
          <w:tcPr>
            <w:tcW w:type="dxa" w:w="1234"/>
          </w:tcPr>
          <w:p>
            <w:r>
              <w:t>4 años</w:t>
            </w:r>
          </w:p>
        </w:tc>
        <w:tc>
          <w:tcPr>
            <w:tcW w:type="dxa" w:w="1234"/>
          </w:tcPr>
          <w:p>
            <w:pPr>
              <w:jc w:val="right"/>
            </w:pPr>
            <w:r>
              <w:t>0,2158</w:t>
            </w:r>
          </w:p>
        </w:tc>
        <w:tc>
          <w:tcPr>
            <w:tcW w:type="dxa" w:w="1234"/>
          </w:tcPr>
          <w:p>
            <w:pPr>
              <w:jc w:val="right"/>
            </w:pPr>
            <w:r>
              <w:t>0,2093</w:t>
            </w:r>
          </w:p>
        </w:tc>
        <w:tc>
          <w:tcPr>
            <w:tcW w:type="dxa" w:w="1234"/>
          </w:tcPr>
          <w:p>
            <w:pPr>
              <w:jc w:val="right"/>
            </w:pPr>
            <w:r>
              <w:t>0,2099</w:t>
            </w:r>
          </w:p>
        </w:tc>
        <w:tc>
          <w:tcPr>
            <w:tcW w:type="dxa" w:w="1234"/>
          </w:tcPr>
          <w:p>
            <w:pPr>
              <w:jc w:val="right"/>
            </w:pPr>
            <w:r>
              <w:t>0,2112</w:t>
            </w:r>
          </w:p>
        </w:tc>
        <w:tc>
          <w:tcPr>
            <w:tcW w:type="dxa" w:w="1234"/>
          </w:tcPr>
          <w:p>
            <w:pPr>
              <w:jc w:val="right"/>
            </w:pPr>
            <w:r>
              <w:t>0,2109</w:t>
            </w:r>
          </w:p>
        </w:tc>
      </w:tr>
      <w:tr>
        <w:trPr>
          <w:cantSplit/>
        </w:trPr>
        <w:tc>
          <w:tcPr>
            <w:tcW w:type="dxa" w:w="1234"/>
          </w:tcPr>
          <w:p>
            <w:pPr>
              <w:jc w:val="right"/>
            </w:pPr>
            <w:r>
              <w:t>5</w:t>
            </w:r>
          </w:p>
        </w:tc>
        <w:tc>
          <w:tcPr>
            <w:tcW w:type="dxa" w:w="1234"/>
          </w:tcPr>
          <w:p>
            <w:r>
              <w:t>5 años</w:t>
            </w:r>
          </w:p>
        </w:tc>
        <w:tc>
          <w:tcPr>
            <w:tcW w:type="dxa" w:w="1234"/>
          </w:tcPr>
          <w:p>
            <w:pPr>
              <w:jc w:val="right"/>
            </w:pPr>
            <w:r>
              <w:t>0,2553</w:t>
            </w:r>
          </w:p>
        </w:tc>
        <w:tc>
          <w:tcPr>
            <w:tcW w:type="dxa" w:w="1234"/>
          </w:tcPr>
          <w:p>
            <w:pPr>
              <w:jc w:val="right"/>
            </w:pPr>
            <w:r>
              <w:t>0,2478</w:t>
            </w:r>
          </w:p>
        </w:tc>
        <w:tc>
          <w:tcPr>
            <w:tcW w:type="dxa" w:w="1234"/>
          </w:tcPr>
          <w:p>
            <w:pPr>
              <w:jc w:val="right"/>
            </w:pPr>
            <w:r>
              <w:t>0,2484</w:t>
            </w:r>
          </w:p>
        </w:tc>
        <w:tc>
          <w:tcPr>
            <w:tcW w:type="dxa" w:w="1234"/>
          </w:tcPr>
          <w:p>
            <w:pPr>
              <w:jc w:val="right"/>
            </w:pPr>
            <w:r>
              <w:t>0,2501</w:t>
            </w:r>
          </w:p>
        </w:tc>
        <w:tc>
          <w:tcPr>
            <w:tcW w:type="dxa" w:w="1234"/>
          </w:tcPr>
          <w:p>
            <w:pPr>
              <w:jc w:val="right"/>
            </w:pPr>
            <w:r>
              <w:t>0,2497</w:t>
            </w:r>
          </w:p>
        </w:tc>
      </w:tr>
    </w:tbl>
    <w:p>
      <w:r>
        <w:rPr>
          <w:b/>
          <w:sz w:val="18"/>
        </w:rPr>
        <w:t>Coeficientes de la curva de PD (supervivencia)</w:t>
      </w:r>
    </w:p>
    <w:tbl>
      <w:tblPr>
        <w:tblStyle w:val="TableGrid"/>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t>term</w:t>
            </w:r>
          </w:p>
        </w:tc>
        <w:tc>
          <w:tcPr>
            <w:tcW w:type="dxa" w:w="2160"/>
          </w:tcPr>
          <w:p>
            <w:pPr>
              <w:jc w:val="right"/>
            </w:pPr>
            <w:r>
              <w:rPr>
                <w:b/>
              </w:rPr>
              <w:t>coef</w:t>
            </w:r>
          </w:p>
        </w:tc>
        <w:tc>
          <w:tcPr>
            <w:tcW w:type="dxa" w:w="2160"/>
          </w:tcPr>
          <w:p>
            <w:pPr>
              <w:jc w:val="right"/>
            </w:pPr>
            <w:r>
              <w:rPr>
                <w:b/>
              </w:rPr>
              <w:t>std_error</w:t>
            </w:r>
          </w:p>
        </w:tc>
        <w:tc>
          <w:tcPr>
            <w:tcW w:type="dxa" w:w="2160"/>
          </w:tcPr>
          <w:p>
            <w:pPr>
              <w:jc w:val="right"/>
            </w:pPr>
            <w:r>
              <w:rPr>
                <w:b/>
              </w:rPr>
              <w:t>p_value</w:t>
            </w:r>
          </w:p>
        </w:tc>
      </w:tr>
      <w:tr>
        <w:trPr>
          <w:cantSplit/>
        </w:trPr>
        <w:tc>
          <w:tcPr>
            <w:tcW w:type="dxa" w:w="2160"/>
          </w:tcPr>
          <w:p>
            <w:r>
              <w:t>period_1</w:t>
            </w:r>
          </w:p>
        </w:tc>
        <w:tc>
          <w:tcPr>
            <w:tcW w:type="dxa" w:w="2160"/>
          </w:tcPr>
          <w:p>
            <w:pPr>
              <w:jc w:val="right"/>
            </w:pPr>
            <w:r>
              <w:t>-3,4554</w:t>
            </w:r>
          </w:p>
        </w:tc>
        <w:tc>
          <w:tcPr>
            <w:tcW w:type="dxa" w:w="2160"/>
          </w:tcPr>
          <w:p>
            <w:pPr>
              <w:jc w:val="right"/>
            </w:pPr>
            <w:r>
              <w:t>0,0991</w:t>
            </w:r>
          </w:p>
        </w:tc>
        <w:tc>
          <w:tcPr>
            <w:tcW w:type="dxa" w:w="2160"/>
          </w:tcPr>
          <w:p>
            <w:pPr>
              <w:jc w:val="right"/>
            </w:pPr>
            <w:r>
              <w:t>&lt; 0,001</w:t>
            </w:r>
          </w:p>
        </w:tc>
      </w:tr>
      <w:tr>
        <w:trPr>
          <w:cantSplit/>
        </w:trPr>
        <w:tc>
          <w:tcPr>
            <w:tcW w:type="dxa" w:w="2160"/>
          </w:tcPr>
          <w:p>
            <w:r>
              <w:t>period_2</w:t>
            </w:r>
          </w:p>
        </w:tc>
        <w:tc>
          <w:tcPr>
            <w:tcW w:type="dxa" w:w="2160"/>
          </w:tcPr>
          <w:p>
            <w:pPr>
              <w:jc w:val="right"/>
            </w:pPr>
            <w:r>
              <w:t>-3,4517</w:t>
            </w:r>
          </w:p>
        </w:tc>
        <w:tc>
          <w:tcPr>
            <w:tcW w:type="dxa" w:w="2160"/>
          </w:tcPr>
          <w:p>
            <w:pPr>
              <w:jc w:val="right"/>
            </w:pPr>
            <w:r>
              <w:t>0,0996</w:t>
            </w:r>
          </w:p>
        </w:tc>
        <w:tc>
          <w:tcPr>
            <w:tcW w:type="dxa" w:w="2160"/>
          </w:tcPr>
          <w:p>
            <w:pPr>
              <w:jc w:val="right"/>
            </w:pPr>
            <w:r>
              <w:t>&lt; 0,001</w:t>
            </w:r>
          </w:p>
        </w:tc>
      </w:tr>
      <w:tr>
        <w:trPr>
          <w:cantSplit/>
        </w:trPr>
        <w:tc>
          <w:tcPr>
            <w:tcW w:type="dxa" w:w="2160"/>
          </w:tcPr>
          <w:p>
            <w:r>
              <w:t>period_3</w:t>
            </w:r>
          </w:p>
        </w:tc>
        <w:tc>
          <w:tcPr>
            <w:tcW w:type="dxa" w:w="2160"/>
          </w:tcPr>
          <w:p>
            <w:pPr>
              <w:jc w:val="right"/>
            </w:pPr>
            <w:r>
              <w:t>-3,5416</w:t>
            </w:r>
          </w:p>
        </w:tc>
        <w:tc>
          <w:tcPr>
            <w:tcW w:type="dxa" w:w="2160"/>
          </w:tcPr>
          <w:p>
            <w:pPr>
              <w:jc w:val="right"/>
            </w:pPr>
            <w:r>
              <w:t>0,1021</w:t>
            </w:r>
          </w:p>
        </w:tc>
        <w:tc>
          <w:tcPr>
            <w:tcW w:type="dxa" w:w="2160"/>
          </w:tcPr>
          <w:p>
            <w:pPr>
              <w:jc w:val="right"/>
            </w:pPr>
            <w:r>
              <w:t>&lt; 0,001</w:t>
            </w:r>
          </w:p>
        </w:tc>
      </w:tr>
      <w:tr>
        <w:trPr>
          <w:cantSplit/>
        </w:trPr>
        <w:tc>
          <w:tcPr>
            <w:tcW w:type="dxa" w:w="2160"/>
          </w:tcPr>
          <w:p>
            <w:r>
              <w:t>period_4</w:t>
            </w:r>
          </w:p>
        </w:tc>
        <w:tc>
          <w:tcPr>
            <w:tcW w:type="dxa" w:w="2160"/>
          </w:tcPr>
          <w:p>
            <w:pPr>
              <w:jc w:val="right"/>
            </w:pPr>
            <w:r>
              <w:t>-3,5137</w:t>
            </w:r>
          </w:p>
        </w:tc>
        <w:tc>
          <w:tcPr>
            <w:tcW w:type="dxa" w:w="2160"/>
          </w:tcPr>
          <w:p>
            <w:pPr>
              <w:jc w:val="right"/>
            </w:pPr>
            <w:r>
              <w:t>0,1026</w:t>
            </w:r>
          </w:p>
        </w:tc>
        <w:tc>
          <w:tcPr>
            <w:tcW w:type="dxa" w:w="2160"/>
          </w:tcPr>
          <w:p>
            <w:pPr>
              <w:jc w:val="right"/>
            </w:pPr>
            <w:r>
              <w:t>&lt; 0,001</w:t>
            </w:r>
          </w:p>
        </w:tc>
      </w:tr>
      <w:tr>
        <w:trPr>
          <w:cantSplit/>
        </w:trPr>
        <w:tc>
          <w:tcPr>
            <w:tcW w:type="dxa" w:w="2160"/>
          </w:tcPr>
          <w:p>
            <w:r>
              <w:t>period_5</w:t>
            </w:r>
          </w:p>
        </w:tc>
        <w:tc>
          <w:tcPr>
            <w:tcW w:type="dxa" w:w="2160"/>
          </w:tcPr>
          <w:p>
            <w:pPr>
              <w:jc w:val="right"/>
            </w:pPr>
            <w:r>
              <w:t>-3,5858</w:t>
            </w:r>
          </w:p>
        </w:tc>
        <w:tc>
          <w:tcPr>
            <w:tcW w:type="dxa" w:w="2160"/>
          </w:tcPr>
          <w:p>
            <w:pPr>
              <w:jc w:val="right"/>
            </w:pPr>
            <w:r>
              <w:t>0,1051</w:t>
            </w:r>
          </w:p>
        </w:tc>
        <w:tc>
          <w:tcPr>
            <w:tcW w:type="dxa" w:w="2160"/>
          </w:tcPr>
          <w:p>
            <w:pPr>
              <w:jc w:val="right"/>
            </w:pPr>
            <w:r>
              <w:t>&lt; 0,001</w:t>
            </w:r>
          </w:p>
        </w:tc>
      </w:tr>
      <w:tr>
        <w:trPr>
          <w:cantSplit/>
        </w:trPr>
        <w:tc>
          <w:tcPr>
            <w:tcW w:type="dxa" w:w="2160"/>
          </w:tcPr>
          <w:p>
            <w:r>
              <w:t>days_past_due</w:t>
            </w:r>
          </w:p>
        </w:tc>
        <w:tc>
          <w:tcPr>
            <w:tcW w:type="dxa" w:w="2160"/>
          </w:tcPr>
          <w:p>
            <w:pPr>
              <w:jc w:val="right"/>
            </w:pPr>
            <w:r>
              <w:t>0,0063</w:t>
            </w:r>
          </w:p>
        </w:tc>
        <w:tc>
          <w:tcPr>
            <w:tcW w:type="dxa" w:w="2160"/>
          </w:tcPr>
          <w:p>
            <w:pPr>
              <w:jc w:val="right"/>
            </w:pPr>
            <w:r>
              <w:t>0,00071</w:t>
            </w:r>
          </w:p>
        </w:tc>
        <w:tc>
          <w:tcPr>
            <w:tcW w:type="dxa" w:w="2160"/>
          </w:tcPr>
          <w:p>
            <w:pPr>
              <w:jc w:val="right"/>
            </w:pPr>
            <w:r>
              <w:t>&lt; 0,001</w:t>
            </w:r>
          </w:p>
        </w:tc>
      </w:tr>
      <w:tr>
        <w:trPr>
          <w:cantSplit/>
        </w:trPr>
        <w:tc>
          <w:tcPr>
            <w:tcW w:type="dxa" w:w="2160"/>
          </w:tcPr>
          <w:p>
            <w:r>
              <w:t>utilizacion_linea</w:t>
            </w:r>
          </w:p>
        </w:tc>
        <w:tc>
          <w:tcPr>
            <w:tcW w:type="dxa" w:w="2160"/>
          </w:tcPr>
          <w:p>
            <w:pPr>
              <w:jc w:val="right"/>
            </w:pPr>
            <w:r>
              <w:t>0,9536</w:t>
            </w:r>
          </w:p>
        </w:tc>
        <w:tc>
          <w:tcPr>
            <w:tcW w:type="dxa" w:w="2160"/>
          </w:tcPr>
          <w:p>
            <w:pPr>
              <w:jc w:val="right"/>
            </w:pPr>
            <w:r>
              <w:t>0,1378</w:t>
            </w:r>
          </w:p>
        </w:tc>
        <w:tc>
          <w:tcPr>
            <w:tcW w:type="dxa" w:w="2160"/>
          </w:tcPr>
          <w:p>
            <w:pPr>
              <w:jc w:val="right"/>
            </w:pPr>
            <w:r>
              <w:t>&lt; 0,001</w:t>
            </w:r>
          </w:p>
        </w:tc>
      </w:tr>
      <w:tr>
        <w:trPr>
          <w:cantSplit/>
        </w:trPr>
        <w:tc>
          <w:tcPr>
            <w:tcW w:type="dxa" w:w="2160"/>
          </w:tcPr>
          <w:p>
            <w:r>
              <w:t>deuda_ingreso</w:t>
            </w:r>
          </w:p>
        </w:tc>
        <w:tc>
          <w:tcPr>
            <w:tcW w:type="dxa" w:w="2160"/>
          </w:tcPr>
          <w:p>
            <w:pPr>
              <w:jc w:val="right"/>
            </w:pPr>
            <w:r>
              <w:t>1,40196</w:t>
            </w:r>
          </w:p>
        </w:tc>
        <w:tc>
          <w:tcPr>
            <w:tcW w:type="dxa" w:w="2160"/>
          </w:tcPr>
          <w:p>
            <w:pPr>
              <w:jc w:val="right"/>
            </w:pPr>
            <w:r>
              <w:t>0,0987</w:t>
            </w:r>
          </w:p>
        </w:tc>
        <w:tc>
          <w:tcPr>
            <w:tcW w:type="dxa" w:w="2160"/>
          </w:tcPr>
          <w:p>
            <w:pPr>
              <w:jc w:val="right"/>
            </w:pPr>
            <w:r>
              <w:t>&lt; 0,001</w:t>
            </w:r>
          </w:p>
        </w:tc>
      </w:tr>
      <w:tr>
        <w:trPr>
          <w:cantSplit/>
        </w:trPr>
        <w:tc>
          <w:tcPr>
            <w:tcW w:type="dxa" w:w="2160"/>
          </w:tcPr>
          <w:p>
            <w:r>
              <w:t>antiguedad_meses</w:t>
            </w:r>
          </w:p>
        </w:tc>
        <w:tc>
          <w:tcPr>
            <w:tcW w:type="dxa" w:w="2160"/>
          </w:tcPr>
          <w:p>
            <w:pPr>
              <w:jc w:val="right"/>
            </w:pPr>
            <w:r>
              <w:t>-0,0061</w:t>
            </w:r>
          </w:p>
        </w:tc>
        <w:tc>
          <w:tcPr>
            <w:tcW w:type="dxa" w:w="2160"/>
          </w:tcPr>
          <w:p>
            <w:pPr>
              <w:jc w:val="right"/>
            </w:pPr>
            <w:r>
              <w:t>0,00079</w:t>
            </w:r>
          </w:p>
        </w:tc>
        <w:tc>
          <w:tcPr>
            <w:tcW w:type="dxa" w:w="2160"/>
          </w:tcPr>
          <w:p>
            <w:pPr>
              <w:jc w:val="right"/>
            </w:pPr>
            <w:r>
              <w:t>&lt; 0,001</w:t>
            </w:r>
          </w:p>
        </w:tc>
      </w:tr>
    </w:tbl>
    <w:p>
      <w:pPr>
        <w:pStyle w:val="Heading2"/>
      </w:pPr>
      <w:r>
        <w:t>4.2 Pérdida crediticia esperada (ECL) por etapas</w:t>
      </w:r>
    </w:p>
    <w:p>
      <w:r>
        <w:t>La probabilidad de incumplimiento por periodo proviene de la curva lifetime PD del modelo de supervivencia (discrete-time hazard), en modalidad through-the-cycle (TTC). La ECL de cada operación multiplica PD marginal, LGD y EAD periodo a periodo y descuenta cada pérdida al presente; Stage 1 corta el horizonte a 12 meses y Stage 2 lo extiende a la vida remanente; Stage 3, una operación que ya incumplió, provisiona la pérdida de ese incumplimiento: su LGD por su EAD (PD = 1).</w:t>
      </w:r>
    </w:p>
    <w:p>
      <w:r>
        <w:t>La curva lifetime no extrapola la PD de horizonte fijo del modelo: se estima un modelo de riesgo en tiempo discreto (discrete-time hazard) sobre la historia de duración censurada de la propia cartera (6.000 operaciones, 1.502 eventos de incumplimiento observados y 4.498 censuradas). La probabilidad condicional de incumplimiento se estima período a período, y de ella se derivan la supervivencia y la PD marginal de cada período: la dimensión temporal la aportan los datos de duración, no un supuesto de hazard constante.</w:t>
      </w:r>
    </w:p>
    <w:p>
      <w:r>
        <w:t>El ajuste no toma insumos de un scorecard de originación: el orden de riesgo entre operaciones lo aportan covariables propias de la cartera, y el nivel y la forma temporal de la curva los fija la historia de duración observada. La pérdida esperada queda así autocontenida en el área IFRS 9.</w:t>
      </w:r>
    </w:p>
    <w:p>
      <w:r>
        <w:t>La corrida usa un escenario único (sin ponderación macroeconómica múltiple); la norma admite incorporar escenarios adicionales cuando la entidad disponga de ellos.</w:t>
      </w:r>
    </w:p>
    <w:p>
      <w:r>
        <w:t>La tabla resume la cartera por etapa: número de operaciones, EAD, ECL reportada y cobertura. La distribución por etapas reconcilia exactamente con el total del capítulo.</w:t>
      </w:r>
    </w:p>
    <w:p>
      <w:r>
        <w:t>El motor reportó advertencias de datos que el lector debe conocer: la exposición (EAD) se proyectó constante a lo largo de la vida de cada operación, porque el dataset no trae un perfil de exposición por período.</w:t>
      </w:r>
    </w:p>
    <w:p>
      <w:r>
        <w:rPr>
          <w:b/>
          <w:sz w:val="18"/>
        </w:rPr>
        <w:t>Pérdida crediticia esperada (ECL) por etapa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1234"/>
          </w:tcPr>
          <w:p>
            <w:r>
              <w:rPr>
                <w:b/>
              </w:rPr>
              <w:t>portfolio</w:t>
            </w:r>
          </w:p>
        </w:tc>
        <w:tc>
          <w:tcPr>
            <w:tcW w:type="dxa" w:w="1234"/>
          </w:tcPr>
          <w:p>
            <w:pPr>
              <w:jc w:val="right"/>
            </w:pPr>
            <w:r>
              <w:rPr>
                <w:b/>
              </w:rPr>
              <w:t>stage</w:t>
            </w:r>
          </w:p>
        </w:tc>
        <w:tc>
          <w:tcPr>
            <w:tcW w:type="dxa" w:w="1234"/>
          </w:tcPr>
          <w:p>
            <w:r>
              <w:rPr>
                <w:b/>
              </w:rPr>
              <w:t>scenario</w:t>
            </w:r>
          </w:p>
        </w:tc>
        <w:tc>
          <w:tcPr>
            <w:tcW w:type="dxa" w:w="1234"/>
          </w:tcPr>
          <w:p>
            <w:pPr>
              <w:jc w:val="right"/>
            </w:pPr>
            <w:r>
              <w:rPr>
                <w:b/>
              </w:rPr>
              <w:t>n_rows</w:t>
            </w:r>
          </w:p>
        </w:tc>
        <w:tc>
          <w:tcPr>
            <w:tcW w:type="dxa" w:w="1234"/>
          </w:tcPr>
          <w:p>
            <w:pPr>
              <w:jc w:val="right"/>
            </w:pPr>
            <w:r>
              <w:rPr>
                <w:b/>
              </w:rPr>
              <w:t>total_ead</w:t>
            </w:r>
          </w:p>
        </w:tc>
        <w:tc>
          <w:tcPr>
            <w:tcW w:type="dxa" w:w="1234"/>
          </w:tcPr>
          <w:p>
            <w:pPr>
              <w:jc w:val="right"/>
            </w:pPr>
            <w:r>
              <w:rPr>
                <w:b/>
              </w:rPr>
              <w:t>total_ecl_reported</w:t>
            </w:r>
          </w:p>
        </w:tc>
        <w:tc>
          <w:tcPr>
            <w:tcW w:type="dxa" w:w="1234"/>
          </w:tcPr>
          <w:p>
            <w:pPr>
              <w:jc w:val="right"/>
            </w:pPr>
            <w:r>
              <w:rPr>
                <w:b/>
              </w:rPr>
              <w:t>coverage_ratio</w:t>
            </w:r>
          </w:p>
        </w:tc>
      </w:tr>
      <w:tr>
        <w:trPr>
          <w:cantSplit/>
        </w:trPr>
        <w:tc>
          <w:tcPr>
            <w:tcW w:type="dxa" w:w="1234"/>
          </w:tcPr>
          <w:p>
            <w:r>
              <w:t>Comercial</w:t>
            </w:r>
          </w:p>
        </w:tc>
        <w:tc>
          <w:tcPr>
            <w:tcW w:type="dxa" w:w="1234"/>
          </w:tcPr>
          <w:p>
            <w:pPr>
              <w:jc w:val="right"/>
            </w:pPr>
            <w:r>
              <w:t>1</w:t>
            </w:r>
          </w:p>
        </w:tc>
        <w:tc>
          <w:tcPr>
            <w:tcW w:type="dxa" w:w="1234"/>
          </w:tcPr>
          <w:p>
            <w:r>
              <w:t>all</w:t>
            </w:r>
          </w:p>
        </w:tc>
        <w:tc>
          <w:tcPr>
            <w:tcW w:type="dxa" w:w="1234"/>
          </w:tcPr>
          <w:p>
            <w:pPr>
              <w:jc w:val="right"/>
            </w:pPr>
            <w:r>
              <w:t>775</w:t>
            </w:r>
          </w:p>
        </w:tc>
        <w:tc>
          <w:tcPr>
            <w:tcW w:type="dxa" w:w="1234"/>
          </w:tcPr>
          <w:p>
            <w:pPr>
              <w:jc w:val="right"/>
            </w:pPr>
            <w:r>
              <w:t>31.178.795,53</w:t>
            </w:r>
          </w:p>
        </w:tc>
        <w:tc>
          <w:tcPr>
            <w:tcW w:type="dxa" w:w="1234"/>
          </w:tcPr>
          <w:p>
            <w:pPr>
              <w:jc w:val="right"/>
            </w:pPr>
            <w:r>
              <w:t>581.332,24</w:t>
            </w:r>
          </w:p>
        </w:tc>
        <w:tc>
          <w:tcPr>
            <w:tcW w:type="dxa" w:w="1234"/>
          </w:tcPr>
          <w:p>
            <w:pPr>
              <w:jc w:val="right"/>
            </w:pPr>
            <w:r>
              <w:t>0,0186</w:t>
            </w:r>
          </w:p>
        </w:tc>
      </w:tr>
      <w:tr>
        <w:trPr>
          <w:cantSplit/>
        </w:trPr>
        <w:tc>
          <w:tcPr>
            <w:tcW w:type="dxa" w:w="1234"/>
          </w:tcPr>
          <w:p>
            <w:r>
              <w:t>Comercial</w:t>
            </w:r>
          </w:p>
        </w:tc>
        <w:tc>
          <w:tcPr>
            <w:tcW w:type="dxa" w:w="1234"/>
          </w:tcPr>
          <w:p>
            <w:pPr>
              <w:jc w:val="right"/>
            </w:pPr>
            <w:r>
              <w:t>2</w:t>
            </w:r>
          </w:p>
        </w:tc>
        <w:tc>
          <w:tcPr>
            <w:tcW w:type="dxa" w:w="1234"/>
          </w:tcPr>
          <w:p>
            <w:r>
              <w:t>all</w:t>
            </w:r>
          </w:p>
        </w:tc>
        <w:tc>
          <w:tcPr>
            <w:tcW w:type="dxa" w:w="1234"/>
          </w:tcPr>
          <w:p>
            <w:pPr>
              <w:jc w:val="right"/>
            </w:pPr>
            <w:r>
              <w:t>75</w:t>
            </w:r>
          </w:p>
        </w:tc>
        <w:tc>
          <w:tcPr>
            <w:tcW w:type="dxa" w:w="1234"/>
          </w:tcPr>
          <w:p>
            <w:pPr>
              <w:jc w:val="right"/>
            </w:pPr>
            <w:r>
              <w:t>3.137.275,52</w:t>
            </w:r>
          </w:p>
        </w:tc>
        <w:tc>
          <w:tcPr>
            <w:tcW w:type="dxa" w:w="1234"/>
          </w:tcPr>
          <w:p>
            <w:pPr>
              <w:jc w:val="right"/>
            </w:pPr>
            <w:r>
              <w:t>390.914,01</w:t>
            </w:r>
          </w:p>
        </w:tc>
        <w:tc>
          <w:tcPr>
            <w:tcW w:type="dxa" w:w="1234"/>
          </w:tcPr>
          <w:p>
            <w:pPr>
              <w:jc w:val="right"/>
            </w:pPr>
            <w:r>
              <w:t>0,1246</w:t>
            </w:r>
          </w:p>
        </w:tc>
      </w:tr>
      <w:tr>
        <w:trPr>
          <w:cantSplit/>
        </w:trPr>
        <w:tc>
          <w:tcPr>
            <w:tcW w:type="dxa" w:w="1234"/>
          </w:tcPr>
          <w:p>
            <w:r>
              <w:t>Comercial</w:t>
            </w:r>
          </w:p>
        </w:tc>
        <w:tc>
          <w:tcPr>
            <w:tcW w:type="dxa" w:w="1234"/>
          </w:tcPr>
          <w:p>
            <w:pPr>
              <w:jc w:val="right"/>
            </w:pPr>
            <w:r>
              <w:t>3</w:t>
            </w:r>
          </w:p>
        </w:tc>
        <w:tc>
          <w:tcPr>
            <w:tcW w:type="dxa" w:w="1234"/>
          </w:tcPr>
          <w:p>
            <w:r>
              <w:t>all</w:t>
            </w:r>
          </w:p>
        </w:tc>
        <w:tc>
          <w:tcPr>
            <w:tcW w:type="dxa" w:w="1234"/>
          </w:tcPr>
          <w:p>
            <w:pPr>
              <w:jc w:val="right"/>
            </w:pPr>
            <w:r>
              <w:t>51</w:t>
            </w:r>
          </w:p>
        </w:tc>
        <w:tc>
          <w:tcPr>
            <w:tcW w:type="dxa" w:w="1234"/>
          </w:tcPr>
          <w:p>
            <w:pPr>
              <w:jc w:val="right"/>
            </w:pPr>
            <w:r>
              <w:t>2.145.243,75</w:t>
            </w:r>
          </w:p>
        </w:tc>
        <w:tc>
          <w:tcPr>
            <w:tcW w:type="dxa" w:w="1234"/>
          </w:tcPr>
          <w:p>
            <w:pPr>
              <w:jc w:val="right"/>
            </w:pPr>
            <w:r>
              <w:t>922.931,98</w:t>
            </w:r>
          </w:p>
        </w:tc>
        <w:tc>
          <w:tcPr>
            <w:tcW w:type="dxa" w:w="1234"/>
          </w:tcPr>
          <w:p>
            <w:pPr>
              <w:jc w:val="right"/>
            </w:pPr>
            <w:r>
              <w:t>0,4302</w:t>
            </w:r>
          </w:p>
        </w:tc>
      </w:tr>
      <w:tr>
        <w:trPr>
          <w:cantSplit/>
        </w:trPr>
        <w:tc>
          <w:tcPr>
            <w:tcW w:type="dxa" w:w="1234"/>
          </w:tcPr>
          <w:p>
            <w:r>
              <w:t>Consumo</w:t>
            </w:r>
          </w:p>
        </w:tc>
        <w:tc>
          <w:tcPr>
            <w:tcW w:type="dxa" w:w="1234"/>
          </w:tcPr>
          <w:p>
            <w:pPr>
              <w:jc w:val="right"/>
            </w:pPr>
            <w:r>
              <w:t>1</w:t>
            </w:r>
          </w:p>
        </w:tc>
        <w:tc>
          <w:tcPr>
            <w:tcW w:type="dxa" w:w="1234"/>
          </w:tcPr>
          <w:p>
            <w:r>
              <w:t>all</w:t>
            </w:r>
          </w:p>
        </w:tc>
        <w:tc>
          <w:tcPr>
            <w:tcW w:type="dxa" w:w="1234"/>
          </w:tcPr>
          <w:p>
            <w:pPr>
              <w:jc w:val="right"/>
            </w:pPr>
            <w:r>
              <w:t>2.125</w:t>
            </w:r>
          </w:p>
        </w:tc>
        <w:tc>
          <w:tcPr>
            <w:tcW w:type="dxa" w:w="1234"/>
          </w:tcPr>
          <w:p>
            <w:pPr>
              <w:jc w:val="right"/>
            </w:pPr>
            <w:r>
              <w:t>18.099.269,13</w:t>
            </w:r>
          </w:p>
        </w:tc>
        <w:tc>
          <w:tcPr>
            <w:tcW w:type="dxa" w:w="1234"/>
          </w:tcPr>
          <w:p>
            <w:pPr>
              <w:jc w:val="right"/>
            </w:pPr>
            <w:r>
              <w:t>393.131,23</w:t>
            </w:r>
          </w:p>
        </w:tc>
        <w:tc>
          <w:tcPr>
            <w:tcW w:type="dxa" w:w="1234"/>
          </w:tcPr>
          <w:p>
            <w:pPr>
              <w:jc w:val="right"/>
            </w:pPr>
            <w:r>
              <w:t>0,0217</w:t>
            </w:r>
          </w:p>
        </w:tc>
      </w:tr>
      <w:tr>
        <w:trPr>
          <w:cantSplit/>
        </w:trPr>
        <w:tc>
          <w:tcPr>
            <w:tcW w:type="dxa" w:w="1234"/>
          </w:tcPr>
          <w:p>
            <w:r>
              <w:t>Consumo</w:t>
            </w:r>
          </w:p>
        </w:tc>
        <w:tc>
          <w:tcPr>
            <w:tcW w:type="dxa" w:w="1234"/>
          </w:tcPr>
          <w:p>
            <w:pPr>
              <w:jc w:val="right"/>
            </w:pPr>
            <w:r>
              <w:t>2</w:t>
            </w:r>
          </w:p>
        </w:tc>
        <w:tc>
          <w:tcPr>
            <w:tcW w:type="dxa" w:w="1234"/>
          </w:tcPr>
          <w:p>
            <w:r>
              <w:t>all</w:t>
            </w:r>
          </w:p>
        </w:tc>
        <w:tc>
          <w:tcPr>
            <w:tcW w:type="dxa" w:w="1234"/>
          </w:tcPr>
          <w:p>
            <w:pPr>
              <w:jc w:val="right"/>
            </w:pPr>
            <w:r>
              <w:t>177</w:t>
            </w:r>
          </w:p>
        </w:tc>
        <w:tc>
          <w:tcPr>
            <w:tcW w:type="dxa" w:w="1234"/>
          </w:tcPr>
          <w:p>
            <w:pPr>
              <w:jc w:val="right"/>
            </w:pPr>
            <w:r>
              <w:t>1.561.397,65</w:t>
            </w:r>
          </w:p>
        </w:tc>
        <w:tc>
          <w:tcPr>
            <w:tcW w:type="dxa" w:w="1234"/>
          </w:tcPr>
          <w:p>
            <w:pPr>
              <w:jc w:val="right"/>
            </w:pPr>
            <w:r>
              <w:t>201.559,53</w:t>
            </w:r>
          </w:p>
        </w:tc>
        <w:tc>
          <w:tcPr>
            <w:tcW w:type="dxa" w:w="1234"/>
          </w:tcPr>
          <w:p>
            <w:pPr>
              <w:jc w:val="right"/>
            </w:pPr>
            <w:r>
              <w:t>0,1291</w:t>
            </w:r>
          </w:p>
        </w:tc>
      </w:tr>
      <w:tr>
        <w:trPr>
          <w:cantSplit/>
        </w:trPr>
        <w:tc>
          <w:tcPr>
            <w:tcW w:type="dxa" w:w="1234"/>
          </w:tcPr>
          <w:p>
            <w:r>
              <w:t>Consumo</w:t>
            </w:r>
          </w:p>
        </w:tc>
        <w:tc>
          <w:tcPr>
            <w:tcW w:type="dxa" w:w="1234"/>
          </w:tcPr>
          <w:p>
            <w:pPr>
              <w:jc w:val="right"/>
            </w:pPr>
            <w:r>
              <w:t>3</w:t>
            </w:r>
          </w:p>
        </w:tc>
        <w:tc>
          <w:tcPr>
            <w:tcW w:type="dxa" w:w="1234"/>
          </w:tcPr>
          <w:p>
            <w:r>
              <w:t>all</w:t>
            </w:r>
          </w:p>
        </w:tc>
        <w:tc>
          <w:tcPr>
            <w:tcW w:type="dxa" w:w="1234"/>
          </w:tcPr>
          <w:p>
            <w:pPr>
              <w:jc w:val="right"/>
            </w:pPr>
            <w:r>
              <w:t>114</w:t>
            </w:r>
          </w:p>
        </w:tc>
        <w:tc>
          <w:tcPr>
            <w:tcW w:type="dxa" w:w="1234"/>
          </w:tcPr>
          <w:p>
            <w:pPr>
              <w:jc w:val="right"/>
            </w:pPr>
            <w:r>
              <w:t>990.794,93</w:t>
            </w:r>
          </w:p>
        </w:tc>
        <w:tc>
          <w:tcPr>
            <w:tcW w:type="dxa" w:w="1234"/>
          </w:tcPr>
          <w:p>
            <w:pPr>
              <w:jc w:val="right"/>
            </w:pPr>
            <w:r>
              <w:t>546.825,86</w:t>
            </w:r>
          </w:p>
        </w:tc>
        <w:tc>
          <w:tcPr>
            <w:tcW w:type="dxa" w:w="1234"/>
          </w:tcPr>
          <w:p>
            <w:pPr>
              <w:jc w:val="right"/>
            </w:pPr>
            <w:r>
              <w:t>0,5519</w:t>
            </w:r>
          </w:p>
        </w:tc>
      </w:tr>
      <w:tr>
        <w:trPr>
          <w:cantSplit/>
        </w:trPr>
        <w:tc>
          <w:tcPr>
            <w:tcW w:type="dxa" w:w="1234"/>
          </w:tcPr>
          <w:p>
            <w:r>
              <w:t>Hipotecario</w:t>
            </w:r>
          </w:p>
        </w:tc>
        <w:tc>
          <w:tcPr>
            <w:tcW w:type="dxa" w:w="1234"/>
          </w:tcPr>
          <w:p>
            <w:pPr>
              <w:jc w:val="right"/>
            </w:pPr>
            <w:r>
              <w:t>1</w:t>
            </w:r>
          </w:p>
        </w:tc>
        <w:tc>
          <w:tcPr>
            <w:tcW w:type="dxa" w:w="1234"/>
          </w:tcPr>
          <w:p>
            <w:r>
              <w:t>all</w:t>
            </w:r>
          </w:p>
        </w:tc>
        <w:tc>
          <w:tcPr>
            <w:tcW w:type="dxa" w:w="1234"/>
          </w:tcPr>
          <w:p>
            <w:pPr>
              <w:jc w:val="right"/>
            </w:pPr>
            <w:r>
              <w:t>809</w:t>
            </w:r>
          </w:p>
        </w:tc>
        <w:tc>
          <w:tcPr>
            <w:tcW w:type="dxa" w:w="1234"/>
          </w:tcPr>
          <w:p>
            <w:pPr>
              <w:jc w:val="right"/>
            </w:pPr>
            <w:r>
              <w:t>43.611.647,09</w:t>
            </w:r>
          </w:p>
        </w:tc>
        <w:tc>
          <w:tcPr>
            <w:tcW w:type="dxa" w:w="1234"/>
          </w:tcPr>
          <w:p>
            <w:pPr>
              <w:jc w:val="right"/>
            </w:pPr>
            <w:r>
              <w:t>437.771,24</w:t>
            </w:r>
          </w:p>
        </w:tc>
        <w:tc>
          <w:tcPr>
            <w:tcW w:type="dxa" w:w="1234"/>
          </w:tcPr>
          <w:p>
            <w:pPr>
              <w:jc w:val="right"/>
            </w:pPr>
            <w:r>
              <w:t>0,01004</w:t>
            </w:r>
          </w:p>
        </w:tc>
      </w:tr>
      <w:tr>
        <w:trPr>
          <w:cantSplit/>
        </w:trPr>
        <w:tc>
          <w:tcPr>
            <w:tcW w:type="dxa" w:w="1234"/>
          </w:tcPr>
          <w:p>
            <w:r>
              <w:t>Hipotecario</w:t>
            </w:r>
          </w:p>
        </w:tc>
        <w:tc>
          <w:tcPr>
            <w:tcW w:type="dxa" w:w="1234"/>
          </w:tcPr>
          <w:p>
            <w:pPr>
              <w:jc w:val="right"/>
            </w:pPr>
            <w:r>
              <w:t>2</w:t>
            </w:r>
          </w:p>
        </w:tc>
        <w:tc>
          <w:tcPr>
            <w:tcW w:type="dxa" w:w="1234"/>
          </w:tcPr>
          <w:p>
            <w:r>
              <w:t>all</w:t>
            </w:r>
          </w:p>
        </w:tc>
        <w:tc>
          <w:tcPr>
            <w:tcW w:type="dxa" w:w="1234"/>
          </w:tcPr>
          <w:p>
            <w:pPr>
              <w:jc w:val="right"/>
            </w:pPr>
            <w:r>
              <w:t>69</w:t>
            </w:r>
          </w:p>
        </w:tc>
        <w:tc>
          <w:tcPr>
            <w:tcW w:type="dxa" w:w="1234"/>
          </w:tcPr>
          <w:p>
            <w:pPr>
              <w:jc w:val="right"/>
            </w:pPr>
            <w:r>
              <w:t>3.693.801,39</w:t>
            </w:r>
          </w:p>
        </w:tc>
        <w:tc>
          <w:tcPr>
            <w:tcW w:type="dxa" w:w="1234"/>
          </w:tcPr>
          <w:p>
            <w:pPr>
              <w:jc w:val="right"/>
            </w:pPr>
            <w:r>
              <w:t>303.704,23</w:t>
            </w:r>
          </w:p>
        </w:tc>
        <w:tc>
          <w:tcPr>
            <w:tcW w:type="dxa" w:w="1234"/>
          </w:tcPr>
          <w:p>
            <w:pPr>
              <w:jc w:val="right"/>
            </w:pPr>
            <w:r>
              <w:t>0,0822</w:t>
            </w:r>
          </w:p>
        </w:tc>
      </w:tr>
      <w:tr>
        <w:trPr>
          <w:cantSplit/>
        </w:trPr>
        <w:tc>
          <w:tcPr>
            <w:tcW w:type="dxa" w:w="1234"/>
          </w:tcPr>
          <w:p>
            <w:r>
              <w:t>Hipotecario</w:t>
            </w:r>
          </w:p>
        </w:tc>
        <w:tc>
          <w:tcPr>
            <w:tcW w:type="dxa" w:w="1234"/>
          </w:tcPr>
          <w:p>
            <w:pPr>
              <w:jc w:val="right"/>
            </w:pPr>
            <w:r>
              <w:t>3</w:t>
            </w:r>
          </w:p>
        </w:tc>
        <w:tc>
          <w:tcPr>
            <w:tcW w:type="dxa" w:w="1234"/>
          </w:tcPr>
          <w:p>
            <w:r>
              <w:t>all</w:t>
            </w:r>
          </w:p>
        </w:tc>
        <w:tc>
          <w:tcPr>
            <w:tcW w:type="dxa" w:w="1234"/>
          </w:tcPr>
          <w:p>
            <w:pPr>
              <w:jc w:val="right"/>
            </w:pPr>
            <w:r>
              <w:t>38</w:t>
            </w:r>
          </w:p>
        </w:tc>
        <w:tc>
          <w:tcPr>
            <w:tcW w:type="dxa" w:w="1234"/>
          </w:tcPr>
          <w:p>
            <w:pPr>
              <w:jc w:val="right"/>
            </w:pPr>
            <w:r>
              <w:t>2.244.951,10</w:t>
            </w:r>
          </w:p>
        </w:tc>
        <w:tc>
          <w:tcPr>
            <w:tcW w:type="dxa" w:w="1234"/>
          </w:tcPr>
          <w:p>
            <w:pPr>
              <w:jc w:val="right"/>
            </w:pPr>
            <w:r>
              <w:t>510.248,15</w:t>
            </w:r>
          </w:p>
        </w:tc>
        <w:tc>
          <w:tcPr>
            <w:tcW w:type="dxa" w:w="1234"/>
          </w:tcPr>
          <w:p>
            <w:pPr>
              <w:jc w:val="right"/>
            </w:pPr>
            <w:r>
              <w:t>0,2273</w:t>
            </w:r>
          </w:p>
        </w:tc>
      </w:tr>
      <w:tr>
        <w:trPr>
          <w:cantSplit/>
        </w:trPr>
        <w:tc>
          <w:tcPr>
            <w:tcW w:type="dxa" w:w="1234"/>
          </w:tcPr>
          <w:p>
            <w:r>
              <w:t>Tarjetas</w:t>
            </w:r>
          </w:p>
        </w:tc>
        <w:tc>
          <w:tcPr>
            <w:tcW w:type="dxa" w:w="1234"/>
          </w:tcPr>
          <w:p>
            <w:pPr>
              <w:jc w:val="right"/>
            </w:pPr>
            <w:r>
              <w:t>1</w:t>
            </w:r>
          </w:p>
        </w:tc>
        <w:tc>
          <w:tcPr>
            <w:tcW w:type="dxa" w:w="1234"/>
          </w:tcPr>
          <w:p>
            <w:r>
              <w:t>all</w:t>
            </w:r>
          </w:p>
        </w:tc>
        <w:tc>
          <w:tcPr>
            <w:tcW w:type="dxa" w:w="1234"/>
          </w:tcPr>
          <w:p>
            <w:pPr>
              <w:jc w:val="right"/>
            </w:pPr>
            <w:r>
              <w:t>1.526</w:t>
            </w:r>
          </w:p>
        </w:tc>
        <w:tc>
          <w:tcPr>
            <w:tcW w:type="dxa" w:w="1234"/>
          </w:tcPr>
          <w:p>
            <w:pPr>
              <w:jc w:val="right"/>
            </w:pPr>
            <w:r>
              <w:t>6.614.503,17</w:t>
            </w:r>
          </w:p>
        </w:tc>
        <w:tc>
          <w:tcPr>
            <w:tcW w:type="dxa" w:w="1234"/>
          </w:tcPr>
          <w:p>
            <w:pPr>
              <w:jc w:val="right"/>
            </w:pPr>
            <w:r>
              <w:t>159.269,35</w:t>
            </w:r>
          </w:p>
        </w:tc>
        <w:tc>
          <w:tcPr>
            <w:tcW w:type="dxa" w:w="1234"/>
          </w:tcPr>
          <w:p>
            <w:pPr>
              <w:jc w:val="right"/>
            </w:pPr>
            <w:r>
              <w:t>0,0241</w:t>
            </w:r>
          </w:p>
        </w:tc>
      </w:tr>
      <w:tr>
        <w:trPr>
          <w:cantSplit/>
        </w:trPr>
        <w:tc>
          <w:tcPr>
            <w:tcW w:type="dxa" w:w="1234"/>
          </w:tcPr>
          <w:p>
            <w:r>
              <w:t>Tarjetas</w:t>
            </w:r>
          </w:p>
        </w:tc>
        <w:tc>
          <w:tcPr>
            <w:tcW w:type="dxa" w:w="1234"/>
          </w:tcPr>
          <w:p>
            <w:pPr>
              <w:jc w:val="right"/>
            </w:pPr>
            <w:r>
              <w:t>2</w:t>
            </w:r>
          </w:p>
        </w:tc>
        <w:tc>
          <w:tcPr>
            <w:tcW w:type="dxa" w:w="1234"/>
          </w:tcPr>
          <w:p>
            <w:r>
              <w:t>all</w:t>
            </w:r>
          </w:p>
        </w:tc>
        <w:tc>
          <w:tcPr>
            <w:tcW w:type="dxa" w:w="1234"/>
          </w:tcPr>
          <w:p>
            <w:pPr>
              <w:jc w:val="right"/>
            </w:pPr>
            <w:r>
              <w:t>156</w:t>
            </w:r>
          </w:p>
        </w:tc>
        <w:tc>
          <w:tcPr>
            <w:tcW w:type="dxa" w:w="1234"/>
          </w:tcPr>
          <w:p>
            <w:pPr>
              <w:jc w:val="right"/>
            </w:pPr>
            <w:r>
              <w:t>672.454,41</w:t>
            </w:r>
          </w:p>
        </w:tc>
        <w:tc>
          <w:tcPr>
            <w:tcW w:type="dxa" w:w="1234"/>
          </w:tcPr>
          <w:p>
            <w:pPr>
              <w:jc w:val="right"/>
            </w:pPr>
            <w:r>
              <w:t>84.444,87</w:t>
            </w:r>
          </w:p>
        </w:tc>
        <w:tc>
          <w:tcPr>
            <w:tcW w:type="dxa" w:w="1234"/>
          </w:tcPr>
          <w:p>
            <w:pPr>
              <w:jc w:val="right"/>
            </w:pPr>
            <w:r>
              <w:t>0,1256</w:t>
            </w:r>
          </w:p>
        </w:tc>
      </w:tr>
      <w:tr>
        <w:trPr>
          <w:cantSplit/>
        </w:trPr>
        <w:tc>
          <w:tcPr>
            <w:tcW w:type="dxa" w:w="1234"/>
          </w:tcPr>
          <w:p>
            <w:r>
              <w:t>Tarjetas</w:t>
            </w:r>
          </w:p>
        </w:tc>
        <w:tc>
          <w:tcPr>
            <w:tcW w:type="dxa" w:w="1234"/>
          </w:tcPr>
          <w:p>
            <w:pPr>
              <w:jc w:val="right"/>
            </w:pPr>
            <w:r>
              <w:t>3</w:t>
            </w:r>
          </w:p>
        </w:tc>
        <w:tc>
          <w:tcPr>
            <w:tcW w:type="dxa" w:w="1234"/>
          </w:tcPr>
          <w:p>
            <w:r>
              <w:t>all</w:t>
            </w:r>
          </w:p>
        </w:tc>
        <w:tc>
          <w:tcPr>
            <w:tcW w:type="dxa" w:w="1234"/>
          </w:tcPr>
          <w:p>
            <w:pPr>
              <w:jc w:val="right"/>
            </w:pPr>
            <w:r>
              <w:t>85</w:t>
            </w:r>
          </w:p>
        </w:tc>
        <w:tc>
          <w:tcPr>
            <w:tcW w:type="dxa" w:w="1234"/>
          </w:tcPr>
          <w:p>
            <w:pPr>
              <w:jc w:val="right"/>
            </w:pPr>
            <w:r>
              <w:t>375.181,03</w:t>
            </w:r>
          </w:p>
        </w:tc>
        <w:tc>
          <w:tcPr>
            <w:tcW w:type="dxa" w:w="1234"/>
          </w:tcPr>
          <w:p>
            <w:pPr>
              <w:jc w:val="right"/>
            </w:pPr>
            <w:r>
              <w:t>254.605,91</w:t>
            </w:r>
          </w:p>
        </w:tc>
        <w:tc>
          <w:tcPr>
            <w:tcW w:type="dxa" w:w="1234"/>
          </w:tcPr>
          <w:p>
            <w:pPr>
              <w:jc w:val="right"/>
            </w:pPr>
            <w:r>
              <w:t>0,6786</w:t>
            </w:r>
          </w:p>
        </w:tc>
      </w:tr>
    </w:tbl>
    <w:p>
      <w:pPr>
        <w:pStyle w:val="Heading1"/>
      </w:pPr>
      <w:r>
        <w:t>5 Conclusiones y recomendación</w:t>
      </w:r>
    </w:p>
    <w:p>
      <w:r>
        <w:t>El motor no dispone de hallazgos automáticos que resumir: esta corrida no evaluó desempeño, estabilidad ni calibración.</w:t>
      </w:r>
    </w:p>
    <w:p>
      <w:pPr>
        <w:shd w:val="clear" w:color="auto" w:fill="FFF3CD"/>
      </w:pPr>
      <w:r>
        <w:rPr>
          <w:b/>
        </w:rPr>
        <w:t>POR COMPLETAR — Conclusiones y recomendación</w:t>
      </w:r>
    </w:p>
    <w:p>
      <w:pPr>
        <w:shd w:val="clear" w:color="auto" w:fill="FFF3CD"/>
      </w:pPr>
      <w:r>
        <w:rPr>
          <w:b w:val="0"/>
        </w:rPr>
        <w:t>Emite el juicio: ¿el modelo es apto para el uso previsto? La recomendación (aprobar, aprobar con observaciones o rechazar) la firma un humano, no el motor.</w:t>
      </w:r>
    </w:p>
    <w:p>
      <w:pPr>
        <w:shd w:val="clear" w:color="auto" w:fill="FFF3CD"/>
      </w:pPr>
      <w:r>
        <w:rPr>
          <w:b w:val="0"/>
        </w:rPr>
        <w:t>Enumera las observaciones y condiciones de uso, con responsable y plazo para cada una, y fija la fecha de la próxima revisión.</w:t>
      </w:r>
    </w:p>
    <w:p>
      <w:pPr>
        <w:pStyle w:val="Heading1"/>
      </w:pPr>
      <w:r>
        <w:t>6 Limitaciones y supuestos</w:t>
      </w:r>
    </w:p>
    <w:p>
      <w:r>
        <w:t>El alcance de este informe es el cálculo de la pérdida crediticia esperada IFRS 9 (capítulo «Provisiones IFRS 9 / ECL»), una función experimental cuya interfaz puede cambiar en próximas versiones. La curva PD lifetime se ajustó en esta misma corrida de forma autocontenida sobre la historia de la propia cartera, sin insumos de un scorecard de originación. Esta corrida no ejecutó la capa de validación formal; el informe no infiere sus resultados. El backtesting de la ECL no se ejecutó ni se infiere aquí.</w:t>
      </w:r>
    </w:p>
    <w:p>
      <w:r>
        <w:t>Todas las métricas provienen de la corrida trazada en el Anexo A. El informe no completa ningún hueco con supuestos: lo que no se pudo calcular aparece declarado como no disponible.</w:t>
      </w:r>
    </w:p>
    <w:p>
      <w:r>
        <w:t>No hay secciones obligatorias ausentes en esta corrida.</w:t>
      </w:r>
    </w:p>
    <w:p>
      <w:pPr>
        <w:pStyle w:val="Heading1"/>
      </w:pPr>
      <w:r>
        <w:t>Anexo A — Lineage y reproducibilidad</w:t>
      </w:r>
    </w:p>
    <w:p>
      <w:r>
        <w:t>La corrida queda identificada por los hashes de configuración y de datos, el commit del código y la semilla raíz. Con estos cuatro valores el resultado es reproducible.</w:t>
      </w:r>
    </w:p>
    <w:p>
      <w:pPr>
        <w:pStyle w:val="Heading3"/>
      </w:pPr>
      <w:r>
        <w:t>Parámetros y payload</w:t>
      </w:r>
    </w:p>
    <w:p>
      <w:r>
        <w:rPr>
          <w:b/>
        </w:rPr>
        <w:t>config_hash</w:t>
      </w:r>
    </w:p>
    <w:p>
      <w:r>
        <w:rPr>
          <w:rFonts w:ascii="Consolas" w:hAnsi="Consolas"/>
        </w:rPr>
        <w:t>7de7a6829e85107303df2cfb9f4d09a40513bc8ea855ed9e3214d5182e88870c</w:t>
      </w:r>
    </w:p>
    <w:p>
      <w:r>
        <w:rPr>
          <w:b/>
        </w:rPr>
        <w:t>created_at</w:t>
      </w:r>
    </w:p>
    <w:p>
      <w:r>
        <w:rPr>
          <w:rFonts w:ascii="Consolas" w:hAnsi="Consolas"/>
        </w:rPr>
        <w:t>2026-10-21T15:07:35.136107Z</w:t>
      </w:r>
    </w:p>
    <w:p>
      <w:r>
        <w:rPr>
          <w:b/>
        </w:rPr>
        <w:t>data_hash</w:t>
      </w:r>
    </w:p>
    <w:p>
      <w:r>
        <w:rPr>
          <w:rFonts w:ascii="Consolas" w:hAnsi="Consolas"/>
        </w:rPr>
        <w:t>d713808d0604110d6c450358453cea172934d93eb56ccdcb0e7aea7279a94e3e</w:t>
      </w:r>
    </w:p>
    <w:p>
      <w:r>
        <w:rPr>
          <w:b/>
        </w:rPr>
        <w:t>determinism_caveats</w:t>
      </w:r>
    </w:p>
    <w:p>
      <w:r>
        <w:rPr>
          <w:rFonts w:ascii="Consolas" w:hAnsi="Consolas"/>
        </w:rPr>
        <w:t>[]</w:t>
      </w:r>
    </w:p>
    <w:p>
      <w:r>
        <w:rPr>
          <w:b/>
        </w:rPr>
        <w:t>git_dirty</w:t>
      </w:r>
    </w:p>
    <w:p>
      <w:r>
        <w:rPr>
          <w:rFonts w:ascii="Consolas" w:hAnsi="Consolas"/>
        </w:rPr>
        <w:t>no</w:t>
      </w:r>
    </w:p>
    <w:p>
      <w:r>
        <w:rPr>
          <w:b/>
        </w:rPr>
        <w:t>git_sha</w:t>
      </w:r>
    </w:p>
    <w:p>
      <w:r>
        <w:rPr>
          <w:rFonts w:ascii="Consolas" w:hAnsi="Consolas"/>
        </w:rPr>
        <w:t>06c5ad70cbbe909c30e94456faccc79bddf71d03</w:t>
      </w:r>
    </w:p>
    <w:p>
      <w:r>
        <w:rPr>
          <w:b/>
        </w:rPr>
        <w:t>library_versions</w:t>
      </w:r>
    </w:p>
    <w:p>
      <w:r>
        <w:rPr>
          <w:rFonts w:ascii="Consolas" w:hAnsi="Consolas"/>
        </w:rPr>
        <w:t>{</w:t>
        <w:br/>
        <w:t xml:space="preserve">  "PyYAML": "6.0.3",</w:t>
        <w:br/>
        <w:t xml:space="preserve">  "bayesrisk": "2.17.0",</w:t>
        <w:br/>
        <w:t xml:space="preserve">  "numpy": "2.4.6",</w:t>
        <w:br/>
        <w:t xml:space="preserve">  "pandas": "2.3.3",</w:t>
        <w:br/>
        <w:t xml:space="preserve">  "pydantic": "2.13.4"</w:t>
        <w:br/>
        <w:t>}</w:t>
      </w:r>
    </w:p>
    <w:p>
      <w:r>
        <w:rPr>
          <w:b/>
        </w:rPr>
        <w:t>root_seed</w:t>
      </w:r>
    </w:p>
    <w:p>
      <w:r>
        <w:rPr>
          <w:rFonts w:ascii="Consolas" w:hAnsi="Consolas"/>
        </w:rPr>
        <w:t>20240706</w:t>
      </w:r>
    </w:p>
    <w:p>
      <w:r>
        <w:rPr>
          <w:b/>
        </w:rPr>
        <w:t>runtime_environment_hash</w:t>
      </w:r>
    </w:p>
    <w:p>
      <w:r>
        <w:rPr>
          <w:rFonts w:ascii="Consolas" w:hAnsi="Consolas"/>
        </w:rPr>
        <w:t>1f1e38d6b7a5fce46227d0a5615efcf41a2cfe76a98435d2a33c3b817468fc2b</w:t>
      </w:r>
    </w:p>
    <w:p>
      <w:r>
        <w:rPr>
          <w:b/>
        </w:rPr>
        <w:t>schema_version</w:t>
      </w:r>
    </w:p>
    <w:p>
      <w:r>
        <w:rPr>
          <w:rFonts w:ascii="Consolas" w:hAnsi="Consolas"/>
        </w:rPr>
        <w:t>1.0.0</w:t>
      </w:r>
    </w:p>
    <w:p>
      <w:r>
        <w:rPr>
          <w:b/>
        </w:rPr>
        <w:t>uv_lock_hash</w:t>
      </w:r>
    </w:p>
    <w:p>
      <w:r>
        <w:rPr>
          <w:rFonts w:ascii="Consolas" w:hAnsi="Consolas"/>
        </w:rPr>
        <w:t>6c446c2ad040ff52262caae544ea32b26af36b8abebe5f10d5d276f49e967322</w:t>
      </w:r>
    </w:p>
    <w:p>
      <w:pPr>
        <w:pStyle w:val="Heading1"/>
      </w:pPr>
      <w:r>
        <w:t>Anexo B — Tablas detalladas</w:t>
      </w:r>
    </w:p>
    <w:p>
      <w:r>
        <w:t>Este anexo reproduce íntegras todas las tablas que produjo la corrida, incluidas las que el cuerpo del informe ya mostró. Es la trazabilidad completa: nada de lo que el motor calculó queda fuera del documento.</w:t>
      </w:r>
    </w:p>
    <w:p>
      <w:pPr>
        <w:pStyle w:val="Heading3"/>
      </w:pPr>
      <w:r>
        <w:t>Parámetros y payload</w:t>
      </w:r>
    </w:p>
    <w:p>
      <w:r>
        <w:rPr>
          <w:b/>
        </w:rPr>
        <w:t>figure_keys</w:t>
      </w:r>
    </w:p>
    <w:p>
      <w:r>
        <w:rPr>
          <w:rFonts w:ascii="Consolas" w:hAnsi="Consolas"/>
        </w:rPr>
        <w:t>[]</w:t>
      </w:r>
    </w:p>
    <w:p>
      <w:r>
        <w:rPr>
          <w:b/>
        </w:rPr>
        <w:t>table_keys</w:t>
      </w:r>
    </w:p>
    <w:p>
      <w:r>
        <w:rPr>
          <w:rFonts w:ascii="Consolas" w:hAnsi="Consolas"/>
        </w:rPr>
        <w:t>[</w:t>
        <w:br/>
        <w:t xml:space="preserve">  "provisioning_ifrs9.summary",</w:t>
        <w:br/>
        <w:t xml:space="preserve">  "survival.coefficients",</w:t>
        <w:br/>
        <w:t xml:space="preserve">  "data.states",</w:t>
        <w:br/>
        <w:t xml:space="preserve">  "data.partitions",</w:t>
        <w:br/>
        <w:t xml:space="preserve">  "data.exclusions",</w:t>
        <w:br/>
        <w:t xml:space="preserve">  "survival.pd_by_period"</w:t>
        <w:br/>
        <w:t>]</w:t>
      </w:r>
    </w:p>
    <w:p>
      <w:pPr>
        <w:pStyle w:val="Heading1"/>
      </w:pPr>
      <w:r>
        <w:t>Anexo C — Parámetros completos</w:t>
      </w:r>
    </w:p>
    <w:p>
      <w:r>
        <w:t>Este anexo reproduce el payload completo de cada etapa: los parámetros efectivos y las métricas estructuradas tal como las publicó cada step, sin resumir.</w:t>
      </w:r>
    </w:p>
    <w:p>
      <w:pPr>
        <w:pStyle w:val="Heading2"/>
      </w:pPr>
      <w:r>
        <w:t>C.1 Población, particiones y exclusiones</w:t>
      </w:r>
    </w:p>
    <w:p>
      <w:r>
        <w:rPr>
          <w:rFonts w:ascii="Consolas" w:hAnsi="Consolas"/>
        </w:rPr>
        <w:t>Artefacto de origen: data.data_card</w:t>
      </w:r>
    </w:p>
    <w:p>
      <w:pPr>
        <w:pStyle w:val="Heading3"/>
      </w:pPr>
      <w:r>
        <w:t>Parámetros y payload</w:t>
      </w:r>
    </w:p>
    <w:p>
      <w:r>
        <w:rPr>
          <w:b/>
        </w:rPr>
        <w:t>bad_rate</w:t>
      </w:r>
    </w:p>
    <w:p>
      <w:r>
        <w:rPr>
          <w:rFonts w:ascii="Consolas" w:hAnsi="Consolas"/>
        </w:rPr>
        <w:t>0,0963</w:t>
      </w:r>
    </w:p>
    <w:p>
      <w:r>
        <w:rPr>
          <w:b/>
        </w:rPr>
        <w:t>class_counts</w:t>
      </w:r>
    </w:p>
    <w:p>
      <w:r>
        <w:rPr>
          <w:rFonts w:ascii="Consolas" w:hAnsi="Consolas"/>
        </w:rPr>
        <w:t>{</w:t>
        <w:br/>
        <w:t xml:space="preserve">  "bueno": 5422,</w:t>
        <w:br/>
        <w:t xml:space="preserve">  "excluido": 0,</w:t>
        <w:br/>
        <w:t xml:space="preserve">  "indeterminado": 0,</w:t>
        <w:br/>
        <w:t xml:space="preserve">  "malo": 578</w:t>
        <w:br/>
        <w:t>}</w:t>
      </w:r>
    </w:p>
    <w:p>
      <w:r>
        <w:rPr>
          <w:b/>
        </w:rPr>
        <w:t>data_hash</w:t>
      </w:r>
    </w:p>
    <w:p>
      <w:r>
        <w:rPr>
          <w:rFonts w:ascii="Consolas" w:hAnsi="Consolas"/>
        </w:rPr>
        <w:t>d713808d0604110d6c450358453cea172934d93eb56ccdcb0e7aea7279a94e3e</w:t>
      </w:r>
    </w:p>
    <w:p>
      <w:r>
        <w:rPr>
          <w:b/>
        </w:rPr>
        <w:t>effective_config</w:t>
      </w:r>
    </w:p>
    <w:p>
      <w:r>
        <w:rPr>
          <w:rFonts w:ascii="Consolas" w:hAnsi="Consolas"/>
        </w:rPr>
        <w:t>{</w:t>
        <w:br/>
        <w:t xml:space="preserve">  "load": {</w:t>
        <w:br/>
        <w:t xml:space="preserve">    "backend": "pandas",</w:t>
        <w:br/>
        <w:t xml:space="preserve">    "csv_options": {</w:t>
        <w:br/>
        <w:t xml:space="preserve">      "decimal": ".",</w:t>
        <w:br/>
        <w:t xml:space="preserve">      "encoding": "utf-8",</w:t>
        <w:br/>
        <w:t xml:space="preserve">      "sep": ","</w:t>
        <w:br/>
        <w:t xml:space="preserve">    },</w:t>
        <w:br/>
        <w:t xml:space="preserve">    "file_format": "auto",</w:t>
        <w:br/>
        <w:t xml:space="preserve">    "source": ".bayesrisk-demo-fixtures-f4/datasets/ifrs9_retail_latam.parquet"</w:t>
        <w:br/>
        <w:t xml:space="preserve">  },</w:t>
        <w:br/>
        <w:t xml:space="preserve">  "missing": {</w:t>
        <w:br/>
        <w:t xml:space="preserve">    "max_missing_rate": "0,99",</w:t>
        <w:br/>
        <w:t xml:space="preserve">    "special_values": []</w:t>
        <w:br/>
        <w:t xml:space="preserve">  },</w:t>
        <w:br/>
        <w:t xml:space="preserve">  "partition": {</w:t>
        <w:br/>
        <w:t xml:space="preserve">    "min_bads_per_partition": 30,</w:t>
        <w:br/>
        <w:t xml:space="preserve">    "strategy": {</w:t>
        <w:br/>
        <w:t xml:space="preserve">      "cohort_col": "cohorte",</w:t>
        <w:br/>
        <w:t xml:space="preserve">      "holdout_fraction": "0,20",</w:t>
        <w:br/>
        <w:t xml:space="preserve">      "oot_cohorts": [</w:t>
        <w:br/>
        <w:t xml:space="preserve">        "2024Q2"</w:t>
        <w:br/>
        <w:t xml:space="preserve">      ],</w:t>
        <w:br/>
        <w:t xml:space="preserve">      "type": "cohort"</w:t>
        <w:br/>
        <w:t xml:space="preserve">    },</w:t>
        <w:br/>
        <w:t xml:space="preserve">    "ttd_includes_excluded": true</w:t>
        <w:br/>
        <w:t xml:space="preserve">  },</w:t>
        <w:br/>
        <w:t xml:space="preserve">  "schema_": {</w:t>
        <w:br/>
        <w:t xml:space="preserve">    "columns": [</w:t>
        <w:br/>
        <w:t xml:space="preserve">      {</w:t>
        <w:br/>
        <w:t xml:space="preserve">        "coerce": false,</w:t>
        <w:br/>
        <w:t xml:space="preserve">        "dtype": "float",</w:t>
        <w:br/>
        <w:t xml:space="preserve">        "ge": null,</w:t>
        <w:br/>
        <w:t xml:space="preserve">        "isin": null,</w:t>
        <w:br/>
        <w:t xml:space="preserve">        "le": null,</w:t>
        <w:br/>
        <w:t xml:space="preserve">        "name": "ingreso_mensual",</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"deuda_ingreso",</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"utilizacion_linea",</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"mora_max_12m",</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"antiguedad_meses",</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"segmento",</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"cohorte",</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"bad_flag",</w:t>
        <w:br/>
        <w:t xml:space="preserve">        "nullable": false,</w:t>
        <w:br/>
        <w:t xml:space="preserve">        "required": true,</w:t>
        <w:br/>
        <w:t xml:space="preserve">        "unique": false</w:t>
        <w:br/>
        <w:t xml:space="preserve">      }</w:t>
        <w:br/>
        <w:t xml:space="preserve">    ],</w:t>
        <w:br/>
        <w:t xml:space="preserve">    "index_col": "loan_id",</w:t>
        <w:br/>
        <w:t xml:space="preserve">    "ordered": false,</w:t>
        <w:br/>
        <w:t xml:space="preserve">    "strict": false,</w:t>
        <w:br/>
        <w:t xml:space="preserve">    "unique_keys": null</w:t>
        <w:br/>
        <w:t xml:space="preserve">  },</w:t>
        <w:br/>
        <w:t xml:space="preserve">  "target": {</w:t>
        <w:br/>
        <w:t xml:space="preserve">    "bad_rule": {</w:t>
        <w:br/>
        <w:t xml:space="preserve">      "all_of": [</w:t>
        <w:br/>
        <w:t xml:space="preserve">        {</w:t>
        <w:br/>
        <w:t xml:space="preserve">          "col": "bad_flag",</w:t>
        <w:br/>
        <w:t xml:space="preserve">          "op": "==",</w:t>
        <w:br/>
        <w:t xml:space="preserve">          "value": 1</w:t>
        <w:br/>
        <w:t xml:space="preserve">        }</w:t>
        <w:br/>
        <w:t xml:space="preserve">      ],</w:t>
        <w:br/>
        <w:t xml:space="preserve">      "any_of": []</w:t>
        <w:br/>
        <w:t xml:space="preserve">    },</w:t>
        <w:br/>
        <w:t xml:space="preserve">    "exclusion_rules": [],</w:t>
        <w:br/>
        <w:t xml:space="preserve">    "good_rule": null,</w:t>
        <w:br/>
        <w:t xml:space="preserve">    "indeterminate_rule": null,</w:t>
        <w:br/>
        <w:t xml:space="preserve">    "target_col": "target",</w:t>
        <w:br/>
        <w:t xml:space="preserve">    "window": null</w:t>
        <w:br/>
        <w:t xml:space="preserve">  },</w:t>
        <w:br/>
        <w:t xml:space="preserve">  "type": "standard"</w:t>
        <w:br/>
        <w:t>}</w:t>
      </w:r>
    </w:p>
    <w:p>
      <w:r>
        <w:rPr>
          <w:b/>
        </w:rPr>
        <w:t>exclusions_by_reason</w:t>
      </w:r>
    </w:p>
    <w:p>
      <w:r>
        <w:rPr>
          <w:rFonts w:ascii="Consolas" w:hAnsi="Consolas"/>
        </w:rPr>
        <w:t>{}</w:t>
      </w:r>
    </w:p>
    <w:p>
      <w:r>
        <w:rPr>
          <w:b/>
        </w:rPr>
        <w:t>n_features</w:t>
      </w:r>
    </w:p>
    <w:p>
      <w:r>
        <w:rPr>
          <w:rFonts w:ascii="Consolas" w:hAnsi="Consolas"/>
        </w:rPr>
        <w:t>17</w:t>
      </w:r>
    </w:p>
    <w:p>
      <w:r>
        <w:rPr>
          <w:b/>
        </w:rPr>
        <w:t>n_rows</w:t>
      </w:r>
    </w:p>
    <w:p>
      <w:r>
        <w:rPr>
          <w:rFonts w:ascii="Consolas" w:hAnsi="Consolas"/>
        </w:rPr>
        <w:t>6.000</w:t>
      </w:r>
    </w:p>
    <w:p>
      <w:r>
        <w:rPr>
          <w:b/>
        </w:rPr>
        <w:t>partition_bad_rates</w:t>
      </w:r>
    </w:p>
    <w:p>
      <w:r>
        <w:rPr>
          <w:rFonts w:ascii="Consolas" w:hAnsi="Consolas"/>
        </w:rPr>
        <w:t>{</w:t>
        <w:br/>
        <w:t xml:space="preserve">  "desarrollo": "0,0964",</w:t>
        <w:br/>
        <w:t xml:space="preserve">  "fuera_de_modelo": "0,0000",</w:t>
        <w:br/>
        <w:t xml:space="preserve">  "holdout": "0,1000",</w:t>
        <w:br/>
        <w:t xml:space="preserve">  "oot": "0,09197"</w:t>
        <w:br/>
        <w:t>}</w:t>
      </w:r>
    </w:p>
    <w:p>
      <w:r>
        <w:rPr>
          <w:b/>
        </w:rPr>
        <w:t>partition_sizes</w:t>
      </w:r>
    </w:p>
    <w:p>
      <w:r>
        <w:rPr>
          <w:rFonts w:ascii="Consolas" w:hAnsi="Consolas"/>
        </w:rPr>
        <w:t>{</w:t>
        <w:br/>
        <w:t xml:space="preserve">  "desarrollo": 4024,</w:t>
        <w:br/>
        <w:t xml:space="preserve">  "fuera_de_modelo": 0,</w:t>
        <w:br/>
        <w:t xml:space="preserve">  "holdout": 1030,</w:t>
        <w:br/>
        <w:t xml:space="preserve">  "oot": 946</w:t>
        <w:br/>
        <w:t>}</w:t>
      </w:r>
    </w:p>
    <w:p>
      <w:r>
        <w:rPr>
          <w:b/>
        </w:rPr>
        <w:t>performance_window_months</w:t>
      </w:r>
    </w:p>
    <w:p>
      <w:r>
        <w:rPr>
          <w:rFonts w:ascii="Consolas" w:hAnsi="Consolas"/>
        </w:rPr>
        <w:t>—</w:t>
      </w:r>
    </w:p>
    <w:p>
      <w:r>
        <w:rPr>
          <w:b/>
        </w:rPr>
        <w:t>source</w:t>
      </w:r>
    </w:p>
    <w:p>
      <w:r>
        <w:rPr>
          <w:rFonts w:ascii="Consolas" w:hAnsi="Consolas"/>
        </w:rPr>
        <w:t>ifrs9_retail_latam.parquet</w:t>
      </w:r>
    </w:p>
    <w:p>
      <w:r>
        <w:rPr>
          <w:b/>
        </w:rPr>
        <w:t>target_col</w:t>
      </w:r>
    </w:p>
    <w:p>
      <w:r>
        <w:rPr>
          <w:rFonts w:ascii="Consolas" w:hAnsi="Consolas"/>
        </w:rPr>
        <w:t>target</w:t>
      </w:r>
    </w:p>
    <w:p>
      <w:pPr>
        <w:pStyle w:val="Heading2"/>
      </w:pPr>
      <w:r>
        <w:t>C.2 Supervivencia y curva PD lifetime</w:t>
      </w:r>
    </w:p>
    <w:p>
      <w:r>
        <w:rPr>
          <w:rFonts w:ascii="Consolas" w:hAnsi="Consolas"/>
        </w:rPr>
        <w:t>Artefacto de origen: survival.card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"statsmodels": "0.14.6"</w:t>
        <w:br/>
        <w:t>}</w:t>
      </w:r>
    </w:p>
    <w:p>
      <w:r>
        <w:rPr>
          <w:b/>
        </w:rPr>
        <w:t>diagnostics</w:t>
      </w:r>
    </w:p>
    <w:p>
      <w:r>
        <w:rPr>
          <w:rFonts w:ascii="Consolas" w:hAnsi="Consolas"/>
        </w:rPr>
        <w:t>{</w:t>
        <w:br/>
        <w:t xml:space="preserve">  "aft_family": null,</w:t>
        <w:br/>
        <w:t xml:space="preserve">  "fit_statistics": {</w:t>
        <w:br/>
        <w:t xml:space="preserve">    "aic": "11.002,31",</w:t>
        <w:br/>
        <w:t xml:space="preserve">    "converged": "True",</w:t>
        <w:br/>
        <w:t xml:space="preserve">    "deviance": "10.984,31",</w:t>
        <w:br/>
        <w:t xml:space="preserve">    "df_model": 8,</w:t>
        <w:br/>
        <w:t xml:space="preserve">    "df_resid": 26636,</w:t>
        <w:br/>
        <w:t xml:space="preserve">    "llf": "-5.492,16",</w:t>
        <w:br/>
        <w:t xml:space="preserve">    "n_iterations": 6,</w:t>
        <w:br/>
        <w:t xml:space="preserve">    "n_obs": 26645</w:t>
        <w:br/>
        <w:t xml:space="preserve">  },</w:t>
        <w:br/>
        <w:t xml:space="preserve">  "link": "logit",</w:t>
        <w:br/>
        <w:t xml:space="preserve">  "max_observed_time": "5,0000",</w:t>
        <w:br/>
        <w:t xml:space="preserve">  "method": "discrete_hazard",</w:t>
        <w:br/>
        <w:t xml:space="preserve">  "n_censored": 4498,</w:t>
        <w:br/>
        <w:t xml:space="preserve">  "n_events": 1502,</w:t>
        <w:br/>
        <w:t xml:space="preserve">  "n_rows": 6000,</w:t>
        <w:br/>
        <w:t xml:space="preserve">  "schoenfeld_test": null,</w:t>
        <w:br/>
        <w:t xml:space="preserve">  "warnings": []</w:t>
        <w:br/>
        <w:t>}</w:t>
      </w:r>
    </w:p>
    <w:p>
      <w:r>
        <w:rPr>
          <w:b/>
        </w:rPr>
        <w:t>duration_col</w:t>
      </w:r>
    </w:p>
    <w:p>
      <w:r>
        <w:rPr>
          <w:rFonts w:ascii="Consolas" w:hAnsi="Consolas"/>
        </w:rPr>
        <w:t>duration</w:t>
      </w:r>
    </w:p>
    <w:p>
      <w:r>
        <w:rPr>
          <w:b/>
        </w:rPr>
        <w:t>effective_config</w:t>
      </w:r>
    </w:p>
    <w:p>
      <w:r>
        <w:rPr>
          <w:rFonts w:ascii="Consolas" w:hAnsi="Consolas"/>
        </w:rPr>
        <w:t>{</w:t>
        <w:br/>
        <w:t xml:space="preserve">  "cox_aft": {</w:t>
        <w:br/>
        <w:t xml:space="preserve">    "aft_family": null,</w:t>
        <w:br/>
        <w:t xml:space="preserve">    "ph_p_value_threshold": null,</w:t>
        <w:br/>
        <w:t xml:space="preserve">    "ph_test_enabled": true</w:t>
        <w:br/>
        <w:t xml:space="preserve">  },</w:t>
        <w:br/>
        <w:t xml:space="preserve">  "discrete_hazard": {</w:t>
        <w:br/>
        <w:t xml:space="preserve">    "include_period_dummies": true,</w:t>
        <w:br/>
        <w:t xml:space="preserve">    "link": "logit",</w:t>
        <w:br/>
        <w:t xml:space="preserve">    "min_events_per_period": null,</w:t>
        <w:br/>
        <w:t xml:space="preserve">    "pd_role": "none"</w:t>
        <w:br/>
        <w:t xml:space="preserve">  },</w:t>
        <w:br/>
        <w:t xml:space="preserve">  "fail_on_falta_dato": true,</w:t>
        <w:br/>
        <w:t xml:space="preserve">  "input": {</w:t>
        <w:br/>
        <w:t xml:space="preserve">    "covariate_cols": [</w:t>
        <w:br/>
        <w:t xml:space="preserve">      "days_past_due",</w:t>
        <w:br/>
        <w:t xml:space="preserve">      "utilizacion_linea",</w:t>
        <w:br/>
        <w:t xml:space="preserve">      "deuda_ingreso",</w:t>
        <w:br/>
        <w:t xml:space="preserve">      "antiguedad_meses"</w:t>
        <w:br/>
        <w:t xml:space="preserve">    ],</w:t>
        <w:br/>
        <w:t xml:space="preserve">    "duration_col": "duration",</w:t>
        <w:br/>
        <w:t xml:space="preserve">    "event_col": "event",</w:t>
        <w:br/>
        <w:t xml:space="preserve">    "id_col": null,</w:t>
        <w:br/>
        <w:t xml:space="preserve">    "linear_predictor_column": "linear_predictor",</w:t>
        <w:br/>
        <w:t xml:space="preserve">    "pd_column": "pd_raw",</w:t>
        <w:br/>
        <w:t xml:space="preserve">    "pd_source": "none",</w:t>
        <w:br/>
        <w:t xml:space="preserve">    "segment_col": null</w:t>
        <w:br/>
        <w:t xml:space="preserve">  },</w:t>
        <w:br/>
        <w:t xml:space="preserve">  "kaplan_meier": {</w:t>
        <w:br/>
        <w:t xml:space="preserve">    "confidence_level": "0,95",</w:t>
        <w:br/>
        <w:t xml:space="preserve">    "confidence_transform": "loglog"</w:t>
        <w:br/>
        <w:t xml:space="preserve">  },</w:t>
        <w:br/>
        <w:t xml:space="preserve">  "method": "discrete_hazard",</w:t>
        <w:br/>
        <w:t xml:space="preserve">  "schema_version": "1.0.0",</w:t>
        <w:br/>
        <w:t xml:space="preserve">  "time_grid": {</w:t>
        <w:br/>
        <w:t xml:space="preserve">    "evaluation_times": [],</w:t>
        <w:br/>
        <w:t xml:space="preserve">    "horizon_periods": 5,</w:t>
        <w:br/>
        <w:t xml:space="preserve">    "time_unit": "year"</w:t>
        <w:br/>
        <w:t xml:space="preserve">  },</w:t>
        <w:br/>
        <w:t xml:space="preserve">  "type": "standard"</w:t>
        <w:br/>
        <w:t>}</w:t>
      </w:r>
    </w:p>
    <w:p>
      <w:r>
        <w:rPr>
          <w:b/>
        </w:rPr>
        <w:t>event_col</w:t>
      </w:r>
    </w:p>
    <w:p>
      <w:r>
        <w:rPr>
          <w:rFonts w:ascii="Consolas" w:hAnsi="Consolas"/>
        </w:rPr>
        <w:t>event</w:t>
      </w:r>
    </w:p>
    <w:p>
      <w:r>
        <w:rPr>
          <w:b/>
        </w:rPr>
        <w:t>falta_dato</w:t>
      </w:r>
    </w:p>
    <w:p>
      <w:r>
        <w:rPr>
          <w:rFonts w:ascii="Consolas" w:hAnsi="Consolas"/>
        </w:rPr>
        <w:t>[]</w:t>
      </w:r>
    </w:p>
    <w:p>
      <w:r>
        <w:rPr>
          <w:b/>
        </w:rPr>
        <w:t>method</w:t>
      </w:r>
    </w:p>
    <w:p>
      <w:r>
        <w:rPr>
          <w:rFonts w:ascii="Consolas" w:hAnsi="Consolas"/>
        </w:rPr>
        <w:t>discrete_hazard</w:t>
      </w:r>
    </w:p>
    <w:p>
      <w:r>
        <w:rPr>
          <w:b/>
        </w:rPr>
        <w:t>n_events</w:t>
      </w:r>
    </w:p>
    <w:p>
      <w:r>
        <w:rPr>
          <w:rFonts w:ascii="Consolas" w:hAnsi="Consolas"/>
        </w:rPr>
        <w:t>1.502</w:t>
      </w:r>
    </w:p>
    <w:p>
      <w:r>
        <w:rPr>
          <w:b/>
        </w:rPr>
        <w:t>n_periods</w:t>
      </w:r>
    </w:p>
    <w:p>
      <w:r>
        <w:rPr>
          <w:rFonts w:ascii="Consolas" w:hAnsi="Consolas"/>
        </w:rPr>
        <w:t>5</w:t>
      </w:r>
    </w:p>
    <w:p>
      <w:r>
        <w:rPr>
          <w:b/>
        </w:rPr>
        <w:t>n_rows</w:t>
      </w:r>
    </w:p>
    <w:p>
      <w:r>
        <w:rPr>
          <w:rFonts w:ascii="Consolas" w:hAnsi="Consolas"/>
        </w:rPr>
        <w:t>6.000</w:t>
      </w:r>
    </w:p>
    <w:p>
      <w:r>
        <w:rPr>
          <w:b/>
        </w:rPr>
        <w:t>output_columns</w:t>
      </w:r>
    </w:p>
    <w:p>
      <w:r>
        <w:rPr>
          <w:rFonts w:ascii="Consolas" w:hAnsi="Consolas"/>
        </w:rPr>
        <w:t>[</w:t>
        <w:br/>
        <w:t xml:space="preserve">  "row_id",</w:t>
        <w:br/>
        <w:t xml:space="preserve">  "segment",</w:t>
        <w:br/>
        <w:t xml:space="preserve">  "partition",</w:t>
        <w:br/>
        <w:t xml:space="preserve">  "period",</w:t>
        <w:br/>
        <w:t xml:space="preserve">  "time_value",</w:t>
        <w:br/>
        <w:t xml:space="preserve">  "time_unit",</w:t>
        <w:br/>
        <w:t xml:space="preserve">  "hazard",</w:t>
        <w:br/>
        <w:t xml:space="preserve">  "survival",</w:t>
        <w:br/>
        <w:t xml:space="preserve">  "pd_marginal",</w:t>
        <w:br/>
        <w:t xml:space="preserve">  "pd_cumulative",</w:t>
        <w:br/>
        <w:t xml:space="preserve">  "method",</w:t>
        <w:br/>
        <w:t xml:space="preserve">  "pd_source",</w:t>
        <w:br/>
        <w:t xml:space="preserve">  "scenario",</w:t>
        <w:br/>
        <w:t xml:space="preserve">  "warning_codes"</w:t>
        <w:br/>
        <w:t>]</w:t>
      </w:r>
    </w:p>
    <w:p>
      <w:r>
        <w:rPr>
          <w:b/>
        </w:rPr>
        <w:t>pd_source</w:t>
      </w:r>
    </w:p>
    <w:p>
      <w:r>
        <w:rPr>
          <w:rFonts w:ascii="Consolas" w:hAnsi="Consolas"/>
        </w:rPr>
        <w:t>—</w:t>
      </w:r>
    </w:p>
    <w:p>
      <w:r>
        <w:rPr>
          <w:b/>
        </w:rPr>
        <w:t>time_unit</w:t>
      </w:r>
    </w:p>
    <w:p>
      <w:r>
        <w:rPr>
          <w:rFonts w:ascii="Consolas" w:hAnsi="Consolas"/>
        </w:rPr>
        <w:t>year</w:t>
      </w:r>
    </w:p>
    <w:p>
      <w:pPr>
        <w:pStyle w:val="Heading3"/>
      </w:pPr>
      <w:r>
        <w:t>Métricas estructuradas</w:t>
      </w:r>
    </w:p>
    <w:p>
      <w:r>
        <w:rPr>
          <w:b/>
        </w:rPr>
        <w:t>fit_scope</w:t>
      </w:r>
    </w:p>
    <w:p>
      <w:r>
        <w:rPr>
          <w:rFonts w:ascii="Consolas" w:hAnsi="Consolas"/>
        </w:rPr>
        <w:t>{</w:t>
        <w:br/>
        <w:t xml:space="preserve">  "n_fit_rows": 6000,</w:t>
        <w:br/>
        <w:t xml:space="preserve">  "n_rows": 6000,</w:t>
        <w:br/>
        <w:t xml:space="preserve">  "scope": "poblacion_completa"</w:t>
        <w:br/>
        <w:t>}</w:t>
      </w:r>
    </w:p>
    <w:p>
      <w:r>
        <w:rPr>
          <w:b/>
        </w:rPr>
        <w:t>km_greenwood</w:t>
      </w:r>
    </w:p>
    <w:p>
      <w:r>
        <w:rPr>
          <w:rFonts w:ascii="Consolas" w:hAnsi="Consolas"/>
        </w:rPr>
        <w:t>{}</w:t>
      </w:r>
    </w:p>
    <w:p>
      <w:r>
        <w:rPr>
          <w:b/>
        </w:rPr>
        <w:t>pd_source</w:t>
      </w:r>
    </w:p>
    <w:p>
      <w:r>
        <w:rPr>
          <w:rFonts w:ascii="Consolas" w:hAnsi="Consolas"/>
        </w:rPr>
        <w:t>{</w:t>
        <w:br/>
        <w:t xml:space="preserve">  "coverage_column": null,</w:t>
        <w:br/>
        <w:t xml:space="preserve">  "linear_predictor_column": null,</w:t>
        <w:br/>
        <w:t xml:space="preserve">  "pd_column": null,</w:t>
        <w:br/>
        <w:t xml:space="preserve">  "pd_coverage": null,</w:t>
        <w:br/>
        <w:t xml:space="preserve">  "pd_rows": null,</w:t>
        <w:br/>
        <w:t xml:space="preserve">  "pd_source": "none",</w:t>
        <w:br/>
        <w:t xml:space="preserve">  "rows_without_match": [],</w:t>
        <w:br/>
        <w:t xml:space="preserve">  "source_artifact": null</w:t>
        <w:br/>
        <w:t>}</w:t>
      </w:r>
    </w:p>
    <w:p>
      <w:r>
        <w:rPr>
          <w:b/>
        </w:rPr>
        <w:t>person_period</w:t>
      </w:r>
    </w:p>
    <w:p>
      <w:r>
        <w:rPr>
          <w:rFonts w:ascii="Consolas" w:hAnsi="Consolas"/>
        </w:rPr>
        <w:t>{</w:t>
        <w:br/>
        <w:t xml:space="preserve">  "events_by_period": {</w:t>
        <w:br/>
        <w:t xml:space="preserve">    "1": 374,</w:t>
        <w:br/>
        <w:t xml:space="preserve">    "2": 339,</w:t>
        <w:br/>
        <w:t xml:space="preserve">    "3": 286,</w:t>
        <w:br/>
        <w:t xml:space="preserve">    "4": 270,</w:t>
        <w:br/>
        <w:t xml:space="preserve">    "5": 233</w:t>
        <w:br/>
        <w:t xml:space="preserve">  },</w:t>
        <w:br/>
        <w:t xml:space="preserve">  "n_rows": 26645</w:t>
        <w:br/>
        <w:t>}</w:t>
      </w:r>
    </w:p>
    <w:p>
      <w:r>
        <w:rPr>
          <w:b/>
        </w:rPr>
        <w:t>schoenfeld</w:t>
      </w:r>
    </w:p>
    <w:p>
      <w:r>
        <w:rPr>
          <w:rFonts w:ascii="Consolas" w:hAnsi="Consolas"/>
        </w:rPr>
        <w:t>{}</w:t>
      </w:r>
    </w:p>
    <w:p>
      <w:r>
        <w:rPr>
          <w:b/>
        </w:rPr>
        <w:t>term_structure_summary</w:t>
      </w:r>
    </w:p>
    <w:p>
      <w:r>
        <w:rPr>
          <w:rFonts w:ascii="Consolas" w:hAnsi="Consolas"/>
        </w:rPr>
        <w:t>{</w:t>
        <w:br/>
        <w:t xml:space="preserve">  "max_pd_cumulative": "0,99503",</w:t>
        <w:br/>
        <w:t xml:space="preserve">  "min_survival": "0,00497",</w:t>
        <w:br/>
        <w:t xml:space="preserve">  "n_periods": 5,</w:t>
        <w:br/>
        <w:t xml:space="preserve">  "n_rows": 30000</w:t>
        <w:br/>
        <w:t>}</w:t>
      </w:r>
    </w:p>
    <w:p>
      <w:r>
        <w:rPr>
          <w:b/>
        </w:rPr>
        <w:t>time_grid</w:t>
      </w:r>
    </w:p>
    <w:p>
      <w:r>
        <w:rPr>
          <w:rFonts w:ascii="Consolas" w:hAnsi="Consolas"/>
        </w:rPr>
        <w:t>{</w:t>
        <w:br/>
        <w:t xml:space="preserve">  "evaluation_times": [],</w:t>
        <w:br/>
        <w:t xml:space="preserve">  "horizon_periods": 5,</w:t>
        <w:br/>
        <w:t xml:space="preserve">  "resolved_times": [</w:t>
        <w:br/>
        <w:t xml:space="preserve">    1,</w:t>
        <w:br/>
        <w:t xml:space="preserve">    2,</w:t>
        <w:br/>
        <w:t xml:space="preserve">    3,</w:t>
        <w:br/>
        <w:t xml:space="preserve">    4,</w:t>
        <w:br/>
        <w:t xml:space="preserve">    5</w:t>
        <w:br/>
        <w:t xml:space="preserve">  ],</w:t>
        <w:br/>
        <w:t xml:space="preserve">  "source": "horizon_periods",</w:t>
        <w:br/>
        <w:t xml:space="preserve">  "time_unit": "year",</w:t>
        <w:br/>
        <w:t xml:space="preserve">  "warnings": []</w:t>
        <w:br/>
        <w:t>}</w:t>
      </w:r>
    </w:p>
    <w:p>
      <w:pPr>
        <w:pStyle w:val="Heading2"/>
      </w:pPr>
      <w:r>
        <w:t>C.3 Pérdida crediticia esperada (ECL) por etapas</w:t>
      </w:r>
    </w:p>
    <w:p>
      <w:r>
        <w:rPr>
          <w:rFonts w:ascii="Consolas" w:hAnsi="Consolas"/>
        </w:rPr>
        <w:t>Artefacto de origen: provisioning_ifrs9.card</w:t>
      </w:r>
    </w:p>
    <w:p>
      <w:pPr>
        <w:pStyle w:val="Heading3"/>
      </w:pPr>
      <w:r>
        <w:t>Parámetros y payload</w:t>
      </w:r>
    </w:p>
    <w:p>
      <w:r>
        <w:rPr>
          <w:b/>
        </w:rPr>
        <w:t>as_of_date</w:t>
      </w:r>
    </w:p>
    <w:p>
      <w:r>
        <w:rPr>
          <w:rFonts w:ascii="Consolas" w:hAnsi="Consolas"/>
        </w:rPr>
        <w:t>2025-06-30</w:t>
      </w:r>
    </w:p>
    <w:p>
      <w:r>
        <w:rPr>
          <w:b/>
        </w:rPr>
        <w:t>contract_dates</w:t>
      </w:r>
    </w:p>
    <w:p>
      <w:r>
        <w:rPr>
          <w:rFonts w:ascii="Consolas" w:hAnsi="Consolas"/>
        </w:rPr>
        <w:t>no</w:t>
      </w:r>
    </w:p>
    <w:p>
      <w:r>
        <w:rPr>
          <w:b/>
        </w:rPr>
        <w:t>dependency_versions</w:t>
      </w:r>
    </w:p>
    <w:p>
      <w:r>
        <w:rPr>
          <w:rFonts w:ascii="Consolas" w:hAnsi="Consolas"/>
        </w:rPr>
        <w:t>{</w:t>
        <w:br/>
        <w:t xml:space="preserve">  "numpy": "2.4.6",</w:t>
        <w:br/>
        <w:t xml:space="preserve">  "pandas": "2.3.3"</w:t>
        <w:br/>
        <w:t>}</w:t>
      </w:r>
    </w:p>
    <w:p>
      <w:r>
        <w:rPr>
          <w:b/>
        </w:rPr>
        <w:t>ead_beyond_observed_curve</w:t>
      </w:r>
    </w:p>
    <w:p>
      <w:r>
        <w:rPr>
          <w:rFonts w:ascii="Consolas" w:hAnsi="Consolas"/>
        </w:rPr>
        <w:t>—</w:t>
      </w:r>
    </w:p>
    <w:p>
      <w:r>
        <w:rPr>
          <w:b/>
        </w:rPr>
        <w:t>ead_installment_not_amortizing</w:t>
      </w:r>
    </w:p>
    <w:p>
      <w:r>
        <w:rPr>
          <w:rFonts w:ascii="Consolas" w:hAnsi="Consolas"/>
        </w:rPr>
        <w:t>0,0000</w:t>
      </w:r>
    </w:p>
    <w:p>
      <w:r>
        <w:rPr>
          <w:b/>
        </w:rPr>
        <w:t>ead_matured_with_balance</w:t>
      </w:r>
    </w:p>
    <w:p>
      <w:r>
        <w:rPr>
          <w:rFonts w:ascii="Consolas" w:hAnsi="Consolas"/>
        </w:rPr>
        <w:t>0,0000</w:t>
      </w:r>
    </w:p>
    <w:p>
      <w:r>
        <w:rPr>
          <w:b/>
        </w:rPr>
        <w:t>effective_config</w:t>
      </w:r>
    </w:p>
    <w:p>
      <w:r>
        <w:rPr>
          <w:rFonts w:ascii="Consolas" w:hAnsi="Consolas"/>
        </w:rPr>
        <w:t>{</w:t>
        <w:br/>
        <w:t xml:space="preserve">  "as_of_date_col": "as_of_date",</w:t>
        <w:br/>
        <w:t xml:space="preserve">  "ead": {</w:t>
        <w:br/>
        <w:t xml:space="preserve">    "ccf_col": null,</w:t>
        <w:br/>
        <w:t xml:space="preserve">    "ccf_value": null,</w:t>
        <w:br/>
        <w:t xml:space="preserve">    "drawn_col": "drawn",</w:t>
        <w:br/>
        <w:t xml:space="preserve">    "ead_col": "ead",</w:t>
        <w:br/>
        <w:t xml:space="preserve">    "exposure_profile_col": null,</w:t>
        <w:br/>
        <w:t xml:space="preserve">    "installment_col": null,</w:t>
        <w:br/>
        <w:t xml:space="preserve">    "limit_col": "credit_limit",</w:t>
        <w:br/>
        <w:t xml:space="preserve">    "method": "provided"</w:t>
        <w:br/>
        <w:t xml:space="preserve">  },</w:t>
        <w:br/>
        <w:t xml:space="preserve">  "ecl": {</w:t>
        <w:br/>
        <w:t xml:space="preserve">    "discount_convention": "annual_eir_year_fraction",</w:t>
        <w:br/>
        <w:t xml:space="preserve">    "eir_col": "eir",</w:t>
        <w:br/>
        <w:t xml:space="preserve">    "rounding": "none",</w:t>
        <w:br/>
        <w:t xml:space="preserve">    "stage3_direct": true</w:t>
        <w:br/>
        <w:t xml:space="preserve">  },</w:t>
        <w:br/>
        <w:t xml:space="preserve">  "fail_on_falta_dato": true,</w:t>
        <w:br/>
        <w:t xml:space="preserve">  "lgd": {</w:t>
        <w:br/>
        <w:t xml:space="preserve">    "covariate_cols": [],</w:t>
        <w:br/>
        <w:t xml:space="preserve">    "lgd_cap": "1,00",</w:t>
        <w:br/>
        <w:t xml:space="preserve">    "lgd_col": "lgd",</w:t>
        <w:br/>
        <w:t xml:space="preserve">    "lgd_floor": "0,00",</w:t>
        <w:br/>
        <w:t xml:space="preserve">    "method": "provided",</w:t>
        <w:br/>
        <w:t xml:space="preserve">    "recovery_col": null,</w:t>
        <w:br/>
        <w:t xml:space="preserve">    "workout_discount": "eir"</w:t>
        <w:br/>
        <w:t xml:space="preserve">  },</w:t>
        <w:br/>
        <w:t xml:space="preserve">  "maturity_date_col": null,</w:t>
        <w:br/>
        <w:t xml:space="preserve">  "origination_date_col": null,</w:t>
        <w:br/>
        <w:t xml:space="preserve">  "pd": {</w:t>
        <w:br/>
        <w:t xml:space="preserve">    "base_pd_source": "term_structure",</w:t>
        <w:br/>
        <w:t xml:space="preserve">    "horizon_12m_periods": 1,</w:t>
        <w:br/>
        <w:t xml:space="preserve">    "max_lifetime_periods": null,</w:t>
        <w:br/>
        <w:t xml:space="preserve">    "pd_12m_col": null,</w:t>
        <w:br/>
        <w:t xml:space="preserve">    "pit_mode": "ttc_only",</w:t>
        <w:br/>
        <w:t xml:space="preserve">    "rho": null,</w:t>
        <w:br/>
        <w:t xml:space="preserve">    "rho_col": null,</w:t>
        <w:br/>
        <w:t xml:space="preserve">    "systemic_factor_col": null,</w:t>
        <w:br/>
        <w:t xml:space="preserve">    "term_structure_source": "survival"</w:t>
        <w:br/>
        <w:t xml:space="preserve">  },</w:t>
        <w:br/>
        <w:t xml:space="preserve">  "portfolio_col": "portfolio",</w:t>
        <w:br/>
        <w:t xml:space="preserve">  "portfolio_scheme": null,</w:t>
        <w:br/>
        <w:t xml:space="preserve">  "row_id_col": null,</w:t>
        <w:br/>
        <w:t xml:space="preserve">  "scenarios": {</w:t>
        <w:br/>
        <w:t xml:space="preserve">    "forbid_mean_scenario": true,</w:t>
        <w:br/>
        <w:t xml:space="preserve">    "source": "single",</w:t>
        <w:br/>
        <w:t xml:space="preserve">    "weights": {}</w:t>
        <w:br/>
        <w:t xml:space="preserve">  },</w:t>
        <w:br/>
        <w:t xml:space="preserve">  "schema_version": "1.0.0",</w:t>
        <w:br/>
        <w:t xml:space="preserve">  "staging": {</w:t>
        <w:br/>
        <w:t xml:space="preserve">    "days_past_due_col": "days_past_due",</w:t>
        <w:br/>
        <w:t xml:space="preserve">    "dpd_default_backstop": 90,</w:t>
        <w:br/>
        <w:t xml:space="preserve">    "dpd_sicr_backstop": 30,</w:t>
        <w:br/>
        <w:t xml:space="preserve">    "is_default_col": "is_default",</w:t>
        <w:br/>
        <w:t xml:space="preserve">    "low_credit_risk_col": null,</w:t>
        <w:br/>
        <w:t xml:space="preserve">    "low_credit_risk_exemption": false,</w:t>
        <w:br/>
        <w:t xml:space="preserve">    "notch_downgrade_threshold": null,</w:t>
        <w:br/>
        <w:t xml:space="preserve">    "origination_pd_12m_col": null,</w:t>
        <w:br/>
        <w:t xml:space="preserve">    "origination_pd_life_col": null,</w:t>
        <w:br/>
        <w:t xml:space="preserve">    "origination_rating_col": null,</w:t>
        <w:br/>
        <w:t xml:space="preserve">    "rating_col": null,</w:t>
        <w:br/>
        <w:t xml:space="preserve">    "sicr_pd_pit_backstop_multiple": "3,00",</w:t>
        <w:br/>
        <w:t xml:space="preserve">    "sicr_pd_ratio_threshold": "2,00",</w:t>
        <w:br/>
        <w:t xml:space="preserve">    "stage_override_col": null</w:t>
        <w:br/>
        <w:t xml:space="preserve">  },</w:t>
        <w:br/>
        <w:t xml:space="preserve">  "type": "standard"</w:t>
        <w:br/>
        <w:t>}</w:t>
      </w:r>
    </w:p>
    <w:p>
      <w:r>
        <w:rPr>
          <w:b/>
        </w:rPr>
        <w:t>falta_dato</w:t>
      </w:r>
    </w:p>
    <w:p>
      <w:r>
        <w:rPr>
          <w:rFonts w:ascii="Consolas" w:hAnsi="Consolas"/>
        </w:rPr>
        <w:t>[</w:t>
        <w:br/>
        <w:t xml:space="preserve">  "FALTA-DATO-IFRS-4"</w:t>
        <w:br/>
        <w:t>]</w:t>
      </w:r>
    </w:p>
    <w:p>
      <w:r>
        <w:rPr>
          <w:b/>
        </w:rPr>
        <w:t>n_amortizing</w:t>
      </w:r>
    </w:p>
    <w:p>
      <w:r>
        <w:rPr>
          <w:rFonts w:ascii="Consolas" w:hAnsi="Consolas"/>
        </w:rPr>
        <w:t>0</w:t>
      </w:r>
    </w:p>
    <w:p>
      <w:r>
        <w:rPr>
          <w:b/>
        </w:rPr>
        <w:t>n_installment_not_amortizing</w:t>
      </w:r>
    </w:p>
    <w:p>
      <w:r>
        <w:rPr>
          <w:rFonts w:ascii="Consolas" w:hAnsi="Consolas"/>
        </w:rPr>
        <w:t>0</w:t>
      </w:r>
    </w:p>
    <w:p>
      <w:r>
        <w:rPr>
          <w:b/>
        </w:rPr>
        <w:t>n_matured_with_balance</w:t>
      </w:r>
    </w:p>
    <w:p>
      <w:r>
        <w:rPr>
          <w:rFonts w:ascii="Consolas" w:hAnsi="Consolas"/>
        </w:rPr>
        <w:t>0</w:t>
      </w:r>
    </w:p>
    <w:p>
      <w:r>
        <w:rPr>
          <w:b/>
        </w:rPr>
        <w:t>n_rows</w:t>
      </w:r>
    </w:p>
    <w:p>
      <w:r>
        <w:rPr>
          <w:rFonts w:ascii="Consolas" w:hAnsi="Consolas"/>
        </w:rPr>
        <w:t>6.000</w:t>
      </w:r>
    </w:p>
    <w:p>
      <w:r>
        <w:rPr>
          <w:b/>
        </w:rPr>
        <w:t>n_rows_without_exposure</w:t>
      </w:r>
    </w:p>
    <w:p>
      <w:r>
        <w:rPr>
          <w:rFonts w:ascii="Consolas" w:hAnsi="Consolas"/>
        </w:rPr>
        <w:t>0</w:t>
      </w:r>
    </w:p>
    <w:p>
      <w:r>
        <w:rPr>
          <w:b/>
        </w:rPr>
        <w:t>n_stage1</w:t>
      </w:r>
    </w:p>
    <w:p>
      <w:r>
        <w:rPr>
          <w:rFonts w:ascii="Consolas" w:hAnsi="Consolas"/>
        </w:rPr>
        <w:t>5.235</w:t>
      </w:r>
    </w:p>
    <w:p>
      <w:r>
        <w:rPr>
          <w:b/>
        </w:rPr>
        <w:t>n_stage2</w:t>
      </w:r>
    </w:p>
    <w:p>
      <w:r>
        <w:rPr>
          <w:rFonts w:ascii="Consolas" w:hAnsi="Consolas"/>
        </w:rPr>
        <w:t>477</w:t>
      </w:r>
    </w:p>
    <w:p>
      <w:r>
        <w:rPr>
          <w:b/>
        </w:rPr>
        <w:t>n_stage3</w:t>
      </w:r>
    </w:p>
    <w:p>
      <w:r>
        <w:rPr>
          <w:rFonts w:ascii="Consolas" w:hAnsi="Consolas"/>
        </w:rPr>
        <w:t>288</w:t>
      </w:r>
    </w:p>
    <w:p>
      <w:r>
        <w:rPr>
          <w:b/>
        </w:rPr>
        <w:t>pit_mode</w:t>
      </w:r>
    </w:p>
    <w:p>
      <w:r>
        <w:rPr>
          <w:rFonts w:ascii="Consolas" w:hAnsi="Consolas"/>
        </w:rPr>
        <w:t>ttc_only</w:t>
      </w:r>
    </w:p>
    <w:p>
      <w:r>
        <w:rPr>
          <w:b/>
        </w:rPr>
        <w:t>scenario_weights</w:t>
      </w:r>
    </w:p>
    <w:p>
      <w:r>
        <w:rPr>
          <w:rFonts w:ascii="Consolas" w:hAnsi="Consolas"/>
        </w:rPr>
        <w:t>{</w:t>
        <w:br/>
        <w:t xml:space="preserve">  "base": "1,0000"</w:t>
        <w:br/>
        <w:t>}</w:t>
      </w:r>
    </w:p>
    <w:p>
      <w:r>
        <w:rPr>
          <w:b/>
        </w:rPr>
        <w:t>scenarios</w:t>
      </w:r>
    </w:p>
    <w:p>
      <w:r>
        <w:rPr>
          <w:rFonts w:ascii="Consolas" w:hAnsi="Consolas"/>
        </w:rPr>
        <w:t>[</w:t>
        <w:br/>
        <w:t xml:space="preserve">  "base"</w:t>
        <w:br/>
        <w:t>]</w:t>
      </w:r>
    </w:p>
    <w:p>
      <w:r>
        <w:rPr>
          <w:b/>
        </w:rPr>
        <w:t>segmentation</w:t>
      </w:r>
    </w:p>
    <w:p>
      <w:r>
        <w:rPr>
          <w:rFonts w:ascii="Consolas" w:hAnsi="Consolas"/>
        </w:rPr>
        <w:t>—</w:t>
      </w:r>
    </w:p>
    <w:p>
      <w:r>
        <w:rPr>
          <w:b/>
        </w:rPr>
        <w:t>tail_from_period</w:t>
      </w:r>
    </w:p>
    <w:p>
      <w:r>
        <w:rPr>
          <w:rFonts w:ascii="Consolas" w:hAnsi="Consolas"/>
        </w:rPr>
        <w:t>—</w:t>
      </w:r>
    </w:p>
    <w:p>
      <w:r>
        <w:rPr>
          <w:b/>
        </w:rPr>
        <w:t>term_structure_source</w:t>
      </w:r>
    </w:p>
    <w:p>
      <w:r>
        <w:rPr>
          <w:rFonts w:ascii="Consolas" w:hAnsi="Consolas"/>
        </w:rPr>
        <w:t>survival</w:t>
      </w:r>
    </w:p>
    <w:p>
      <w:r>
        <w:rPr>
          <w:b/>
        </w:rPr>
        <w:t>total_ead</w:t>
      </w:r>
    </w:p>
    <w:p>
      <w:r>
        <w:rPr>
          <w:rFonts w:ascii="Consolas" w:hAnsi="Consolas"/>
        </w:rPr>
        <w:t>114.325.314,70</w:t>
      </w:r>
    </w:p>
    <w:p>
      <w:r>
        <w:rPr>
          <w:b/>
        </w:rPr>
        <w:t>total_ecl_reported</w:t>
      </w:r>
    </w:p>
    <w:p>
      <w:r>
        <w:rPr>
          <w:rFonts w:ascii="Consolas" w:hAnsi="Consolas"/>
        </w:rPr>
        <w:t>4.786.738,599</w:t>
      </w:r>
    </w:p>
    <w:p>
      <w:pPr>
        <w:pStyle w:val="Heading3"/>
      </w:pPr>
      <w:r>
        <w:t>Métricas estructuradas</w:t>
      </w:r>
    </w:p>
    <w:p>
      <w:r>
        <w:rPr>
          <w:b/>
        </w:rPr>
        <w:t>ecl_by_scenario</w:t>
      </w:r>
    </w:p>
    <w:p>
      <w:r>
        <w:rPr>
          <w:rFonts w:ascii="Consolas" w:hAnsi="Consolas"/>
        </w:rPr>
        <w:t>{</w:t>
        <w:br/>
        <w:t xml:space="preserve">  "base": "6.911.516,43"</w:t>
        <w:br/>
        <w:t>}</w:t>
      </w:r>
    </w:p>
    <w:p>
      <w:r>
        <w:rPr>
          <w:b/>
        </w:rPr>
        <w:t>ecl_by_scenario_basis</w:t>
      </w:r>
    </w:p>
    <w:p>
      <w:r>
        <w:rPr>
          <w:rFonts w:ascii="Consolas" w:hAnsi="Consolas"/>
        </w:rPr>
        <w:t>Diagnóstico auditable de la term-structure, no un desglose de total_ecl_reported: suma la ECL marginal descontada de cada escenario por separado, sin aplicar scenario_weights y sobre el horizonte completo de la curva, sin truncar Stage 1 a 12 meses. total_ecl_reported sí pondera por escenario y aplica ese corte por stage, de modo que ambas cifras no reconcilian entre sí: no deben sumarse ni compararse.</w:t>
      </w:r>
    </w:p>
    <w:p>
      <w:r>
        <w:rPr>
          <w:b/>
        </w:rPr>
        <w:t>rounding</w:t>
      </w:r>
    </w:p>
    <w:p>
      <w:r>
        <w:rPr>
          <w:rFonts w:ascii="Consolas" w:hAnsi="Consolas"/>
        </w:rPr>
        <w:t>{</w:t>
        <w:br/>
        <w:t xml:space="preserve">  "policy": "none",</w:t>
        <w:br/>
        <w:t xml:space="preserve">  "total_difference": "0,0000"</w:t>
        <w:br/>
        <w:t>}</w:t>
      </w:r>
    </w:p>
    <w:p>
      <w:r>
        <w:rPr>
          <w:b/>
        </w:rPr>
        <w:t>staging_migration</w:t>
      </w:r>
    </w:p>
    <w:p>
      <w:r>
        <w:rPr>
          <w:rFonts w:ascii="Consolas" w:hAnsi="Consolas"/>
        </w:rPr>
        <w:t>{</w:t>
        <w:br/>
        <w:t xml:space="preserve">  "stage_1": 5235,</w:t>
        <w:br/>
        <w:t xml:space="preserve">  "stage_2": 477,</w:t>
        <w:br/>
        <w:t xml:space="preserve">  "stage_3": 288</w:t>
        <w:br/>
        <w:t>}</w:t>
      </w:r>
    </w:p>
    <w:p>
      <w:r>
        <w:rPr>
          <w:b/>
        </w:rPr>
        <w:t>term_structure_summary</w:t>
      </w:r>
    </w:p>
    <w:p>
      <w:r>
        <w:rPr>
          <w:rFonts w:ascii="Consolas" w:hAnsi="Consolas"/>
        </w:rPr>
        <w:t>{</w:t>
        <w:br/>
        <w:t xml:space="preserve">  "n_rows": 30000,</w:t>
        <w:br/>
        <w:t xml:space="preserve">  "n_scenarios": 1</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Roboto" w:hAnsi="Roboto" w:eastAsia="Roboto" w:cs="Roboto"/>
      <w:b/>
      <w:bCs/>
      <w:color w:val="0A22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0A22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1859E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0A22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Provisiones IFRS 9 / ECL</dc:title>
  <dc:subject>Informe de Provisiones IFRS 9 / ECL</dc:subject>
  <dc:creator>bayesrisk</dc:creator>
  <cp:keywords/>
  <dc:description>Generado por bayesrisk · config_hash=7de7a6829e85107303df2cfb9f4d09a40513bc8ea855ed9e3214d5182e88870c · data_hash=d713808d0604110d6c450358453cea172934d93eb56ccdcb0e7aea7279a94e3e</dc:description>
  <cp:lastModifiedBy/>
  <cp:revision>1</cp:revision>
  <dcterms:created xsi:type="dcterms:W3CDTF">2013-12-23T23:15:00Z</dcterms:created>
  <dcterms:modified xsi:type="dcterms:W3CDTF">2013-12-23T23:15:00Z</dcterms:modified>
  <cp:category/>
</cp:coreProperties>
</file>