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2026-08-03</w:t>
            </w:r>
          </w:p>
        </w:tc>
      </w:tr>
    </w:tbl>
    <w:p/>
    <w:p>
      <w:r>
        <w:rPr>
          <w:b/>
        </w:rPr>
        <w:t>Trazabilidad de la corrida (lineage)</w:t>
      </w:r>
    </w:p>
    <w:p>
      <w:r>
        <w:rPr>
          <w:rFonts w:ascii="Consolas" w:hAnsi="Consolas"/>
        </w:rPr>
        <w:t>config_hash=857b06eef5aff267c36076641ffbdbf2fb17836511c206ea04fc5c160983886d</w:t>
      </w:r>
    </w:p>
    <w:p>
      <w:r>
        <w:rPr>
          <w:rFonts w:ascii="Consolas" w:hAnsi="Consolas"/>
        </w:rPr>
        <w:t>data_hash=7dcaf3d3cb708e97ff04697d5dc4c784057890291a2497e934f37a53854138b3</w:t>
      </w:r>
    </w:p>
    <w:p>
      <w:r>
        <w:rPr>
          <w:rFonts w:ascii="Consolas" w:hAnsi="Consolas"/>
        </w:rPr>
        <w:t>git_sha=21ef63d54ebf19dc4a64ab87b0246419aa7d855f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Las cifras van en pesos chilenos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Cifras en pesos chilenos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857b06eef5aff267c36076641ffbdbf2fb17836511c206ea04fc5c160983886d</w:t>
      </w:r>
    </w:p>
    <w:p>
      <w:r>
        <w:rPr>
          <w:b/>
        </w:rPr>
        <w:t>created_at</w:t>
      </w:r>
    </w:p>
    <w:p>
      <w:r>
        <w:rPr>
          <w:rFonts w:ascii="Consolas" w:hAnsi="Consolas"/>
        </w:rPr>
        <w:t>2026-08-03T00:05:34.797396Z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21ef63d54ebf19dc4a64ab87b0246419aa7d855f</w:t>
      </w:r>
    </w:p>
    <w:p>
      <w:r>
        <w:rPr>
          <w:b/>
        </w:rPr>
        <w:t>library_versions</w:t>
      </w:r>
    </w:p>
    <w:p>
      <w:r>
        <w:rPr>
          <w:rFonts w:ascii="Consolas" w:hAnsi="Consolas"/>
        </w:rPr>
        <w:t>{</w:t>
        <w:br/>
        <w:t xml:space="preserve">  "PyYAML": "6.0.3",</w:t>
        <w:br/>
        <w:t xml:space="preserve">  "nikodym": "1.10.0",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segmentation</w:t>
      </w:r>
    </w:p>
    <w:p>
      <w:r>
        <w:rPr>
          <w:rFonts w:ascii="Consolas" w:hAnsi="Consolas"/>
        </w:rPr>
        <w:t>{</w:t>
        <w:br/>
        <w:t xml:space="preserve">  "closed": true,</w:t>
        <w:br/>
        <w:t xml:space="preserve">  "column": "cmf_portfolio",</w:t>
        <w:br/>
        <w:t xml:space="preserve">  "owner": "regime",</w:t>
        <w:br/>
        <w:t xml:space="preserve">  "regime": "CL-CMF-B1",</w:t>
        <w:br/>
        <w:t xml:space="preserve">  "scheme_id": "cl-cmf-b1-portfolios",</w:t>
        <w:br/>
        <w:t xml:space="preserve">  "values": [</w:t>
        <w:br/>
        <w:t xml:space="preserve">    "commercial_individual",</w:t>
        <w:br/>
        <w:t xml:space="preserve">    "commercial_group_leasing",</w:t>
        <w:br/>
        <w:t xml:space="preserve">    "commercial_group_student",</w:t>
        <w:br/>
        <w:t xml:space="preserve">    "commercial_group_generic_factoring",</w:t>
        <w:br/>
        <w:t xml:space="preserve">    "consumer",</w:t>
        <w:br/>
        <w:t xml:space="preserve">    "housing"</w:t>
        <w:br/>
        <w:t xml:space="preserve">  ],</w:t>
        <w:br/>
        <w:t xml:space="preserve">  "version": "2025-01"</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"portfolio_scheme": null,</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segmentation</w:t>
      </w:r>
    </w:p>
    <w:p>
      <w:r>
        <w:rPr>
          <w:rFonts w:ascii="Consolas" w:hAnsi="Consolas"/>
        </w:rPr>
        <w:t>—</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"metodo": "provisión = exposición del grupo · PD estimada · pérdida dado el incumplimiento.",</w:t>
        <w:br/>
        <w:t xml:space="preserve">  "n_score_bands": 10,</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config_hash=857b06eef5aff267c36076641ffbdbf2fb17836511c206ea04fc5c160983886d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