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config_hash=c820682495a1f6877fce49eaf016a0842ad0947a25fa0e222c7af0d7bbf3d910</w:t>
      </w:r>
    </w:p>
    <w:p>
      <w:r>
        <w:rPr>
          <w:rFonts w:ascii="Consolas" w:hAnsi="Consolas"/>
        </w:rPr>
        <w:t>data_hash=7dcaf3d3cb708e97ff04697d5dc4c784057890291a2497e934f37a53854138b3</w:t>
      </w:r>
    </w:p>
    <w:p>
      <w:r>
        <w:rPr>
          <w:rFonts w:ascii="Consolas" w:hAnsi="Consolas"/>
        </w:rPr>
        <w:t>git_sha=4cb074c9286b4a5aa3d3eaf00655b7ef7dcceaa9</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la validación de este informe es el scorecard: discriminación, calibración y estabilidad. El informe reporta además el cálculo regulatorio de provisiones (capítulo «Provisiones regulatorias»), una función experimental fuera de la garantía SemVer 1.x. El backtesting y la integración con IFRS 9 corresponden a fases posteriores y no se cubren ni se infieren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c820682495a1f6877fce49eaf016a0842ad0947a25fa0e222c7af0d7bbf3d910</w:t>
      </w:r>
    </w:p>
    <w:p>
      <w:r>
        <w:rPr>
          <w:b/>
        </w:rPr>
        <w:t>created_at</w:t>
      </w:r>
    </w:p>
    <w:p>
      <w:r>
        <w:rPr>
          <w:rFonts w:ascii="Consolas" w:hAnsi="Consolas"/>
        </w:rPr>
        <w:t>2026-07-18T14:41:53.813063Z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4cb074c9286b4a5aa3d3eaf00655b7ef7dcceaa9</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C.4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C.5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C.6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C.7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config_hash=c820682495a1f6877fce49eaf016a0842ad0947a25fa0e222c7af0d7bbf3d910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