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2026-07-25</w:t>
            </w:r>
          </w:p>
        </w:tc>
      </w:tr>
    </w:tbl>
    <w:p/>
    <w:p>
      <w:r>
        <w:rPr>
          <w:b/>
        </w:rPr>
        <w:t>Trazabilidad de la corrida (lineage)</w:t>
      </w:r>
    </w:p>
    <w:p>
      <w:r>
        <w:rPr>
          <w:rFonts w:ascii="Consolas" w:hAnsi="Consolas"/>
        </w:rPr>
        <w:t>config_hash=ec10eb43314cad2e369584c7dabe4bbf2456391e255a2b69218d405bba2a448e</w:t>
      </w:r>
    </w:p>
    <w:p>
      <w:r>
        <w:rPr>
          <w:rFonts w:ascii="Consolas" w:hAnsi="Consolas"/>
        </w:rPr>
        <w:t>data_hash=74c5d9ddeca8ff71853623d20ace015d0788564549339d61bfb66f24dfadfcc8</w:t>
      </w:r>
    </w:p>
    <w:p>
      <w:r>
        <w:rPr>
          <w:rFonts w:ascii="Consolas" w:hAnsi="Consolas"/>
        </w:rPr>
        <w:t>git_sha=c79f05bf85fdc24d1cb6a126e575b9b1d19d651d</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PSI del score</w:t>
            </w:r>
          </w:p>
        </w:tc>
        <w:tc>
          <w:tcPr>
            <w:tcW w:type="dxa" w:w="2160"/>
          </w:tcPr>
          <w:p>
            <w:r>
              <w:t>Desarrollo vs. Holdout</w:t>
            </w:r>
          </w:p>
        </w:tc>
        <w:tc>
          <w:tcPr>
            <w:tcW w:type="dxa" w:w="2160"/>
          </w:tcPr>
          <w:p>
            <w:r>
              <w:t>0,0132</w:t>
            </w:r>
          </w:p>
        </w:tc>
        <w:tc>
          <w:tcPr>
            <w:tcW w:type="dxa" w:w="2160"/>
          </w:tcPr>
          <w:p>
            <w:r>
              <w:t>Estable</w:t>
            </w:r>
          </w:p>
        </w:tc>
      </w:tr>
      <w:tr>
        <w:tc>
          <w:tcPr>
            <w:tcW w:type="dxa" w:w="2160"/>
          </w:tcPr>
          <w:p>
            <w:r>
              <w:t>PSI del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tests fallidos</w:t>
            </w:r>
          </w:p>
        </w:tc>
        <w:tc>
          <w:tcPr>
            <w:tcW w:type="dxa" w:w="2160"/>
          </w:tcPr>
          <w:p>
            <w:r>
              <w:t>Falla técnica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y redesarrollo por sobre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2.1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1"/>
      </w:pPr>
      <w:r>
        <w:t>3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3.1 Tratamiento de datos y particiones</w:t>
      </w:r>
    </w:p>
    <w:p>
      <w:r>
        <w:t>El dataset se validó contra un esquema declarado de 8 columnas, con tipos y nulabilidad explícitos; una desviación del esquema detiene la corrida en vez de propagarse.</w:t>
      </w:r>
    </w:p>
    <w:p>
      <w:r>
        <w:t>En el tratamiento de faltantes se rechaza toda variable con más de 99,00 % de valores faltantes.</w:t>
      </w:r>
    </w:p>
    <w:p>
      <w:pPr>
        <w:pStyle w:val="Heading2"/>
      </w:pPr>
      <w:r>
        <w:t>3.2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3.3 Selección de variables</w:t>
      </w:r>
    </w:p>
    <w:p>
      <w:r>
        <w:t>Se descartaron las variables con IV inferior a 0,02; las de IV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3.4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3.5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3.6 Calibración de la PD</w:t>
      </w:r>
    </w:p>
    <w:p>
      <w:r>
        <w:t>La PD se calibró por desplazamiento del intercepto (intercept offset), ajustando sobre la partición de Desarrollo contra la tasa de incumplimiento observada en Desarrollo, con una PD objetivo de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4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4.1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4.2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4.3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4.4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4.5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4.6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reparte la población en 10 tramos de riesgo ordenados por score, y permite verificar que la tasa de incumplimiento observada sea monótona entre tramos.</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decil de score</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4.7 Estabilidad</w:t>
      </w:r>
    </w:p>
    <w:p>
      <w:r>
        <w:t>El PSI del score en Desarrollo vs. Holdout es 0,0132 (banda «Estable»). La distribución del score se mantiene, de modo que no hay evidencia de desplazamiento poblacional.</w:t>
      </w:r>
    </w:p>
    <w:p>
      <w:r>
        <w:t>El PSI del score en Desarrollo vs. OOT es 0,0068 (banda «Estable»). La distribución del score se mantiene, de modo que no hay evidencia de desplazamiento poblacional.</w:t>
      </w:r>
    </w:p>
    <w:p>
      <w:r>
        <w:t>A nivel de variable, el mayor CSI corresponde a «mora_max_12m__points» con 0,0102.</w:t>
      </w:r>
    </w:p>
    <w:p>
      <w:r>
        <w:t>El PSI se calculó sobre 10 tramos del score, definidos en Desarrollo.</w:t>
      </w:r>
    </w:p>
    <w:p>
      <w:r>
        <w:drawing>
          <wp:inline xmlns:a="http://schemas.openxmlformats.org/drawingml/2006/main" xmlns:pic="http://schemas.openxmlformats.org/drawingml/2006/picture">
            <wp:extent cx="5486400" cy="5878286"/>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5 Validación formal</w:t>
      </w:r>
    </w:p>
    <w:p>
      <w:r>
        <w:t>La validación formal del modelo «preset-estandar-consumo» ejecutó discriminación, calibración y estabilidad. El estado técnico agregado publicado por el motor es «fail».</w:t>
      </w:r>
    </w:p>
    <w:p>
      <w:r>
        <w:t>El resultado registra 3 tests, de los cuales 1 quedaron fallidos.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5.1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performance_artifact</w:t>
            </w:r>
          </w:p>
        </w:tc>
        <w:tc>
          <w:tcPr>
            <w:tcW w:type="dxa" w:w="1080"/>
          </w:tcPr>
          <w:p>
            <w:r>
              <w:t>ok</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performance_artifact</w:t>
            </w:r>
          </w:p>
        </w:tc>
        <w:tc>
          <w:tcPr>
            <w:tcW w:type="dxa" w:w="1080"/>
          </w:tcPr>
          <w:p>
            <w:r>
              <w:t>ok</w:t>
            </w:r>
          </w:p>
        </w:tc>
      </w:tr>
      <w:tr>
        <w:tc>
          <w:tcPr>
            <w:tcW w:type="dxa" w:w="1080"/>
          </w:tcPr>
          <w:p>
            <w:r>
              <w:t>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performance_artifact</w:t>
            </w:r>
          </w:p>
        </w:tc>
        <w:tc>
          <w:tcPr>
            <w:tcW w:type="dxa" w:w="1080"/>
          </w:tcPr>
          <w:p>
            <w:r>
              <w:t>ok</w:t>
            </w:r>
          </w:p>
        </w:tc>
      </w:tr>
    </w:tbl>
    <w:p>
      <w:pPr>
        <w:pStyle w:val="Heading2"/>
      </w:pPr>
      <w:r>
        <w:t>5.2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hosmer_lemeshow</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pass</w:t>
            </w:r>
          </w:p>
        </w:tc>
        <w:tc>
          <w:tcPr>
            <w:tcW w:type="dxa" w:w="665"/>
          </w:tcPr>
          <w:p>
            <w:r>
              <w:t>—</w:t>
            </w:r>
          </w:p>
        </w:tc>
      </w:tr>
      <w:tr>
        <w:tc>
          <w:tcPr>
            <w:tcW w:type="dxa" w:w="665"/>
          </w:tcPr>
          <w:p>
            <w:r>
              <w:t>desarrollo</w:t>
            </w:r>
          </w:p>
        </w:tc>
        <w:tc>
          <w:tcPr>
            <w:tcW w:type="dxa" w:w="665"/>
          </w:tcPr>
          <w:p>
            <w:r>
              <w:t>brier</w:t>
            </w:r>
          </w:p>
        </w:tc>
        <w:tc>
          <w:tcPr>
            <w:tcW w:type="dxa" w:w="665"/>
          </w:tcPr>
          <w:p>
            <w:r>
              <w:t>ALL</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oot</w:t>
            </w:r>
          </w:p>
        </w:tc>
        <w:tc>
          <w:tcPr>
            <w:tcW w:type="dxa" w:w="665"/>
          </w:tcPr>
          <w:p>
            <w:r>
              <w:t>hosmer_lemeshow</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fail</w:t>
            </w:r>
          </w:p>
        </w:tc>
        <w:tc>
          <w:tcPr>
            <w:tcW w:type="dxa" w:w="665"/>
          </w:tcPr>
          <w:p>
            <w:r>
              <w:t>—</w:t>
            </w:r>
          </w:p>
        </w:tc>
      </w:tr>
      <w:tr>
        <w:tc>
          <w:tcPr>
            <w:tcW w:type="dxa" w:w="665"/>
          </w:tcPr>
          <w:p>
            <w:r>
              <w:t>oot</w:t>
            </w:r>
          </w:p>
        </w:tc>
        <w:tc>
          <w:tcPr>
            <w:tcW w:type="dxa" w:w="665"/>
          </w:tcPr>
          <w:p>
            <w:r>
              <w:t>brier</w:t>
            </w:r>
          </w:p>
        </w:tc>
        <w:tc>
          <w:tcPr>
            <w:tcW w:type="dxa" w:w="665"/>
          </w:tcPr>
          <w:p>
            <w:r>
              <w:t>ALL</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r>
        <w:tc>
          <w:tcPr>
            <w:tcW w:type="dxa" w:w="665"/>
          </w:tcPr>
          <w:p>
            <w:r>
              <w:t>holdout</w:t>
            </w:r>
          </w:p>
        </w:tc>
        <w:tc>
          <w:tcPr>
            <w:tcW w:type="dxa" w:w="665"/>
          </w:tcPr>
          <w:p>
            <w:r>
              <w:t>hosmer_lemeshow</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pass</w:t>
            </w:r>
          </w:p>
        </w:tc>
        <w:tc>
          <w:tcPr>
            <w:tcW w:type="dxa" w:w="665"/>
          </w:tcPr>
          <w:p>
            <w:r>
              <w:t>—</w:t>
            </w:r>
          </w:p>
        </w:tc>
      </w:tr>
      <w:tr>
        <w:tc>
          <w:tcPr>
            <w:tcW w:type="dxa" w:w="665"/>
          </w:tcPr>
          <w:p>
            <w:r>
              <w:t>holdout</w:t>
            </w:r>
          </w:p>
        </w:tc>
        <w:tc>
          <w:tcPr>
            <w:tcW w:type="dxa" w:w="665"/>
          </w:tcPr>
          <w:p>
            <w:r>
              <w:t>brier</w:t>
            </w:r>
          </w:p>
        </w:tc>
        <w:tc>
          <w:tcPr>
            <w:tcW w:type="dxa" w:w="665"/>
          </w:tcPr>
          <w:p>
            <w:r>
              <w:t>ALL</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not_evaluable</w:t>
            </w:r>
          </w:p>
        </w:tc>
        <w:tc>
          <w:tcPr>
            <w:tcW w:type="dxa" w:w="665"/>
          </w:tcPr>
          <w:p>
            <w:r>
              <w:t>—</w:t>
            </w:r>
          </w:p>
        </w:tc>
      </w:tr>
    </w:tbl>
    <w:p>
      <w:pPr>
        <w:pStyle w:val="Heading2"/>
      </w:pPr>
      <w:r>
        <w:t>5.3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score_psi</w:t>
            </w:r>
          </w:p>
        </w:tc>
        <w:tc>
          <w:tcPr>
            <w:tcW w:type="dxa" w:w="785"/>
          </w:tcPr>
          <w:p>
            <w:r>
              <w:t>dev_vs_holdout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score_psi</w:t>
            </w:r>
          </w:p>
        </w:tc>
        <w:tc>
          <w:tcPr>
            <w:tcW w:type="dxa" w:w="785"/>
          </w:tcPr>
          <w:p>
            <w:r>
              <w:t>dev_vs_oot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pd_psi</w:t>
            </w:r>
          </w:p>
        </w:tc>
        <w:tc>
          <w:tcPr>
            <w:tcW w:type="dxa" w:w="785"/>
          </w:tcPr>
          <w:p>
            <w:r>
              <w:t>dev_vs_oot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csi</w:t>
            </w:r>
          </w:p>
        </w:tc>
        <w:tc>
          <w:tcPr>
            <w:tcW w:type="dxa" w:w="785"/>
          </w:tcPr>
          <w:p>
            <w:r>
              <w:t>dev_vs_oot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r>
        <w:tc>
          <w:tcPr>
            <w:tcW w:type="dxa" w:w="785"/>
          </w:tcPr>
          <w:p>
            <w:r>
              <w:t>temporal_score</w:t>
            </w:r>
          </w:p>
        </w:tc>
        <w:tc>
          <w:tcPr>
            <w:tcW w:type="dxa" w:w="785"/>
          </w:tcPr>
          <w:p>
            <w:r>
              <w:t>period</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stable</w:t>
            </w:r>
          </w:p>
        </w:tc>
        <w:tc>
          <w:tcPr>
            <w:tcW w:type="dxa" w:w="785"/>
          </w:tcPr>
          <w:p>
            <w:r>
              <w:t>—</w:t>
            </w:r>
          </w:p>
        </w:tc>
        <w:tc>
          <w:tcPr>
            <w:tcW w:type="dxa" w:w="785"/>
          </w:tcPr>
          <w:p>
            <w:r>
              <w:t>stability_artifact</w:t>
            </w:r>
          </w:p>
        </w:tc>
        <w:tc>
          <w:tcPr>
            <w:tcW w:type="dxa" w:w="785"/>
          </w:tcPr>
          <w:p>
            <w:r>
              <w:t>ok</w:t>
            </w:r>
          </w:p>
        </w:tc>
        <w:tc>
          <w:tcPr>
            <w:tcW w:type="dxa" w:w="785"/>
          </w:tcPr>
          <w:p>
            <w:r>
              <w:t>pass</w:t>
            </w:r>
          </w:p>
        </w:tc>
      </w:tr>
    </w:tbl>
    <w:p>
      <w:pPr>
        <w:pStyle w:val="Heading1"/>
      </w:pPr>
      <w:r>
        <w:t>6 Conclusiones y recomendación</w:t>
      </w:r>
    </w:p>
    <w:p>
      <w:r>
        <w:t>Discriminación (AUC): Desarrollo 0,7123, Holdout 0,6946 y Fuera de tiempo (OOT) 0,6561.</w:t>
      </w:r>
    </w:p>
    <w:p>
      <w:r>
        <w:t>Estabilidad (PSI del score): Desarrollo vs. Holdout 0,0132 («Estable») y Desarrollo vs. OOT 0,0068 («Estable»).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7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ec10eb43314cad2e369584c7dabe4bbf2456391e255a2b69218d405bba2a448e</w:t>
      </w:r>
    </w:p>
    <w:p>
      <w:r>
        <w:rPr>
          <w:b/>
        </w:rPr>
        <w:t>created_at</w:t>
      </w:r>
    </w:p>
    <w:p>
      <w:r>
        <w:rPr>
          <w:rFonts w:ascii="Consolas" w:hAnsi="Consolas"/>
        </w:rPr>
        <w:t>2026-07-25T22:26:55.713892Z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c79f05bf85fdc24d1cb6a126e575b9b1d19d651d</w:t>
      </w:r>
    </w:p>
    <w:p>
      <w:r>
        <w:rPr>
          <w:b/>
        </w:rPr>
        <w:t>library_versions</w:t>
      </w:r>
    </w:p>
    <w:p>
      <w:r>
        <w:rPr>
          <w:rFonts w:ascii="Consolas" w:hAnsi="Consolas"/>
        </w:rPr>
        <w:t>{</w:t>
        <w:br/>
        <w:t xml:space="preserve">  "PyYAML": "6.0.3",</w:t>
        <w:br/>
        <w:t xml:space="preserve">  "nikodym": "1.5.0",</w:t>
        <w:br/>
        <w:t xml:space="preserve">  "numpy": "2.4.6",</w:t>
        <w:br/>
        <w:t xml:space="preserve">  "pandas": "2.3.3",</w:t>
        <w:br/>
        <w:t xml:space="preserve">  "pydantic": "2.13.4"</w:t>
        <w:br/>
        <w:t>}</w:t>
      </w:r>
    </w:p>
    <w:p>
      <w:r>
        <w:rPr>
          <w:b/>
        </w:rPr>
        <w:t>root_seed</w:t>
      </w:r>
    </w:p>
    <w:p>
      <w:r>
        <w:rPr>
          <w:rFonts w:ascii="Consolas" w:hAnsi="Consolas"/>
        </w:rPr>
        <w:t>20240706</w:t>
      </w:r>
    </w:p>
    <w:p>
      <w:r>
        <w:rPr>
          <w:b/>
        </w:rPr>
        <w:t>schema_version</w:t>
      </w:r>
    </w:p>
    <w:p>
      <w:r>
        <w:rPr>
          <w:rFonts w:ascii="Consolas" w:hAnsi="Consolas"/>
        </w:rPr>
        <w:t>1.0.0</w:t>
      </w:r>
    </w:p>
    <w:p>
      <w:r>
        <w:rPr>
          <w:b/>
        </w:rPr>
        <w:t>uv_lock_hash</w:t>
      </w:r>
    </w:p>
    <w:p>
      <w:r>
        <w:rPr>
          <w:rFonts w:ascii="Consolas" w:hAnsi="Consolas"/>
        </w:rPr>
        <w:t>—</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r>
    </w:p>
    <w:p>
      <w:r>
        <w:rPr>
          <w:b/>
        </w:rPr>
        <w:t>table_keys</w:t>
      </w:r>
    </w:p>
    <w:p>
      <w:r>
        <w:rPr>
          <w:rFonts w:ascii="Consolas" w:hAnsi="Consolas"/>
        </w:rPr>
        <w:t>[</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C.3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C.4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C.5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C.6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C.7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C.8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C.9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"n_failed": 1,</w:t>
        <w:br/>
        <w:t xml:space="preserve">  "n_tests": 3,</w:t>
        <w:br/>
        <w:t xml:space="preserve">  "not_evaluable_grades": [],</w:t>
        <w:br/>
        <w:t xml:space="preserve">  "overall_status": "fail",</w:t>
        <w:br/>
        <w:t xml:space="preserve">  "traffic_light": {</w:t>
        <w:br/>
        <w:t xml:space="preserve">    "amber": 0,</w:t>
        <w:br/>
        <w:t xml:space="preserve">    "green": 0,</w:t>
        <w:br/>
        <w:t xml:space="preserve">    "red": 0</w:t>
        <w:br/>
        <w:t xml:space="preserve">  }</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config_hash=ec10eb43314cad2e369584c7dabe4bbf2456391e255a2b69218d405bba2a448e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