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config_hash=a242df1ee782350358b90ab8837ae4dcd9445197dad22734f506dfde2818d254</w:t>
      </w:r>
    </w:p>
    <w:p>
      <w:r>
        <w:rPr>
          <w:rFonts w:ascii="Consolas" w:hAnsi="Consolas"/>
        </w:rPr>
        <w:t>data_hash=7dcaf3d3cb708e97ff04697d5dc4c784057890291a2497e934f37a53854138b3</w:t>
      </w:r>
    </w:p>
    <w:p>
      <w:r>
        <w:rPr>
          <w:rFonts w:ascii="Consolas" w:hAnsi="Consolas"/>
        </w:rPr>
        <w:t>git_sha=0f1551bae9dae111d64814f6aed0837147b3b74c</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No disponible</w:t>
            </w:r>
          </w:p>
        </w:tc>
        <w:tc>
          <w:tcPr>
            <w:tcW w:type="dxa" w:w="576"/>
          </w:tcPr>
          <w:p>
            <w:r>
              <w:t>No disponible</w:t>
            </w:r>
          </w:p>
        </w:tc>
        <w:tc>
          <w:tcPr>
            <w:tcW w:type="dxa" w:w="576"/>
          </w:tcPr>
          <w:p>
            <w:r>
              <w:t>1.026062</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No disponible</w:t>
            </w:r>
          </w:p>
        </w:tc>
        <w:tc>
          <w:tcPr>
            <w:tcW w:type="dxa" w:w="576"/>
          </w:tcPr>
          <w:p>
            <w:r>
              <w:t>No disponible</w:t>
            </w:r>
          </w:p>
        </w:tc>
        <w:tc>
          <w:tcPr>
            <w:tcW w:type="dxa" w:w="576"/>
          </w:tcPr>
          <w:p>
            <w:r>
              <w:t>1.105517</w:t>
            </w:r>
          </w:p>
        </w:tc>
        <w:tc>
          <w:tcPr>
            <w:tcW w:type="dxa" w:w="576"/>
          </w:tcPr>
          <w:p>
            <w:r>
              <w:t>No disponible</w:t>
            </w:r>
          </w:p>
        </w:tc>
        <w:tc>
          <w:tcPr>
            <w:tcW w:type="dxa" w:w="576"/>
          </w:tcPr>
          <w:p>
            <w:r>
              <w:t>No disponible</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No disponible</w:t>
            </w:r>
          </w:p>
        </w:tc>
        <w:tc>
          <w:tcPr>
            <w:tcW w:type="dxa" w:w="576"/>
          </w:tcPr>
          <w:p>
            <w:r>
              <w:t>No disponible</w:t>
            </w:r>
          </w:p>
        </w:tc>
        <w:tc>
          <w:tcPr>
            <w:tcW w:type="dxa" w:w="576"/>
          </w:tcPr>
          <w:p>
            <w:r>
              <w:t>1.091881</w:t>
            </w:r>
          </w:p>
        </w:tc>
        <w:tc>
          <w:tcPr>
            <w:tcW w:type="dxa" w:w="576"/>
          </w:tcPr>
          <w:p>
            <w:r>
              <w:t>No disponible</w:t>
            </w:r>
          </w:p>
        </w:tc>
        <w:tc>
          <w:tcPr>
            <w:tcW w:type="dxa" w:w="576"/>
          </w:tcPr>
          <w:p>
            <w:r>
              <w:t>No disponible</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No disponible</w:t>
            </w:r>
          </w:p>
        </w:tc>
        <w:tc>
          <w:tcPr>
            <w:tcW w:type="dxa" w:w="576"/>
          </w:tcPr>
          <w:p>
            <w:r>
              <w:t>No disponible</w:t>
            </w:r>
          </w:p>
        </w:tc>
        <w:tc>
          <w:tcPr>
            <w:tcW w:type="dxa" w:w="576"/>
          </w:tcPr>
          <w:p>
            <w:r>
              <w:t>1.250736</w:t>
            </w:r>
          </w:p>
        </w:tc>
        <w:tc>
          <w:tcPr>
            <w:tcW w:type="dxa" w:w="576"/>
          </w:tcPr>
          <w:p>
            <w:r>
              <w:t>No disponible</w:t>
            </w:r>
          </w:p>
        </w:tc>
        <w:tc>
          <w:tcPr>
            <w:tcW w:type="dxa" w:w="576"/>
          </w:tcPr>
          <w:p>
            <w:r>
              <w:t>No disponible</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none</w:t>
            </w:r>
          </w:p>
        </w:tc>
        <w:tc>
          <w:tcPr>
            <w:tcW w:type="dxa" w:w="576"/>
          </w:tcPr>
          <w:p>
            <w:r>
              <w:t>0.505891</w:t>
            </w:r>
          </w:p>
        </w:tc>
        <w:tc>
          <w:tcPr>
            <w:tcW w:type="dxa" w:w="576"/>
          </w:tcPr>
          <w:p>
            <w:r>
              <w:t>0.011782</w:t>
            </w:r>
          </w:p>
        </w:tc>
        <w:tc>
          <w:tcPr>
            <w:tcW w:type="dxa" w:w="576"/>
          </w:tcPr>
          <w:p>
            <w:r>
              <w:t>0.008972</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No disponible</w:t>
            </w:r>
          </w:p>
        </w:tc>
        <w:tc>
          <w:tcPr>
            <w:tcW w:type="dxa" w:w="576"/>
          </w:tcPr>
          <w:p>
            <w:r>
              <w:t>No disponible</w:t>
            </w:r>
          </w:p>
        </w:tc>
        <w:tc>
          <w:tcPr>
            <w:tcW w:type="dxa" w:w="576"/>
          </w:tcPr>
          <w:p>
            <w:r>
              <w:t>1.023972</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No disponible</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No disponible</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No disponible</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No disponible</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obliga a constituir provisiones por el mayor valor entre el método estándar de la CMF y el método interno del banco, y a disponer de ambos métodos. Este capítulo aplica esa regla sobre la cartera y reporta la provisión resultante.</w:t>
      </w:r>
    </w:p>
    <w:p>
      <w:r>
        <w:t>Sobre colocaciones por $8.079.005.434, el método estándar de la CMF exige $697.376.974 y el método interno $308.644.058. La provisión a constituir es $697.376.974. Manda el estándar: cuesta $388.732.916 por encima de lo que el propio modelo interno del banco pediría (un 126 % más).</w:t>
      </w:r>
    </w:p>
    <w:p>
      <w:r>
        <w:t>La regla se aplica a nivel de entidad —«para cada institución en Chile que consolida con el banco», según la norma—, no operación por operación.</w:t>
      </w:r>
    </w:p>
    <w:p>
      <w:pPr>
        <w:pStyle w:val="Heading2"/>
      </w:pPr>
      <w:r>
        <w:t>5.1 La provisión a constituir — la regla del máximo</w:t>
      </w:r>
    </w:p>
    <w:p>
      <w:r>
        <w:t>La provisión reportada es el máximo entre las dos fuentes, evaluado a nivel de la entidad. En esta cartera manda el método estándar de la CMF.</w:t>
      </w:r>
    </w:p>
    <w:p>
      <w:r>
        <w:t>Los dos métodos agrupan la cartera de forma distinta, y es deliberado: el método estándar consolida a nivel de deudor —sube a incumplimiento todas las operaciones de un deudor si alguna supera 90 días de mora—, mientras que el método interno agrupa por banda de score. La asimetría la impone la norma,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697376973.92291276</w:t>
            </w:r>
          </w:p>
        </w:tc>
        <w:tc>
          <w:tcPr>
            <w:tcW w:type="dxa" w:w="864"/>
          </w:tcPr>
          <w:p>
            <w:r>
              <w:t>308644057.91</w:t>
            </w:r>
          </w:p>
        </w:tc>
        <w:tc>
          <w:tcPr>
            <w:tcW w:type="dxa" w:w="864"/>
          </w:tcPr>
          <w:p>
            <w:r>
              <w:t>697376973.92291276</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160408349.38848258</w:t>
            </w:r>
          </w:p>
        </w:tc>
        <w:tc>
          <w:tcPr>
            <w:tcW w:type="dxa" w:w="960"/>
          </w:tcPr>
          <w:p>
            <w:r>
              <w:t>3.697335445253305232085223965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22952502.93369726</w:t>
            </w:r>
          </w:p>
        </w:tc>
        <w:tc>
          <w:tcPr>
            <w:tcW w:type="dxa" w:w="960"/>
          </w:tcPr>
          <w:p>
            <w:r>
              <w:t>11.19207473400184720482636978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33185728.90872261</w:t>
            </w:r>
          </w:p>
        </w:tc>
        <w:tc>
          <w:tcPr>
            <w:tcW w:type="dxa" w:w="960"/>
          </w:tcPr>
          <w:p>
            <w:r>
              <w:t>1.555723868923021648327314658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5704671.08068896</w:t>
            </w:r>
          </w:p>
        </w:tc>
        <w:tc>
          <w:tcPr>
            <w:tcW w:type="dxa" w:w="960"/>
          </w:tcPr>
          <w:p>
            <w:r>
              <w:t>6.811162297733660239244471144</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20577288.78061479</w:t>
            </w:r>
          </w:p>
        </w:tc>
        <w:tc>
          <w:tcPr>
            <w:tcW w:type="dxa" w:w="960"/>
          </w:tcPr>
          <w:p>
            <w:r>
              <w:t>37.12632567853246511174722680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80596347.37535823</w:t>
            </w:r>
          </w:p>
        </w:tc>
        <w:tc>
          <w:tcPr>
            <w:tcW w:type="dxa" w:w="960"/>
          </w:tcPr>
          <w:p>
            <w:r>
              <w:t>36.77492792952850533122802551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2274655.55678118</w:t>
            </w:r>
          </w:p>
        </w:tc>
        <w:tc>
          <w:tcPr>
            <w:tcW w:type="dxa" w:w="960"/>
          </w:tcPr>
          <w:p>
            <w:r>
              <w:t>24.56861196073039733738916438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11657374.9042464</w:t>
            </w:r>
          </w:p>
        </w:tc>
        <w:tc>
          <w:tcPr>
            <w:tcW w:type="dxa" w:w="960"/>
          </w:tcPr>
          <w:p>
            <w:r>
              <w:t>30.43287391337255829276513523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11334214.24419843</w:t>
            </w:r>
          </w:p>
        </w:tc>
        <w:tc>
          <w:tcPr>
            <w:tcW w:type="dxa" w:w="960"/>
          </w:tcPr>
          <w:p>
            <w:r>
              <w:t>41.39217282357383381485810527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97121164.72492137</w:t>
            </w:r>
          </w:p>
        </w:tc>
        <w:tc>
          <w:tcPr>
            <w:tcW w:type="dxa" w:w="960"/>
          </w:tcPr>
          <w:p>
            <w:r>
              <w:t>48.92248672956242438344801200</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226561.57962502</w:t>
            </w:r>
          </w:p>
        </w:tc>
        <w:tc>
          <w:tcPr>
            <w:tcW w:type="dxa" w:w="960"/>
          </w:tcPr>
          <w:p>
            <w:r>
              <w:t>25.82450090020600640693010969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8640551.56497064</w:t>
            </w:r>
          </w:p>
        </w:tc>
        <w:tc>
          <w:tcPr>
            <w:tcW w:type="dxa" w:w="960"/>
          </w:tcPr>
          <w:p>
            <w:r>
              <w:t>39.36982538452617972989386302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49925818.03893048</w:t>
            </w:r>
          </w:p>
        </w:tc>
        <w:tc>
          <w:tcPr>
            <w:tcW w:type="dxa" w:w="960"/>
          </w:tcPr>
          <w:p>
            <w:r>
              <w:t>17.35547056118711523139411288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26205415.44803105</w:t>
            </w:r>
          </w:p>
        </w:tc>
        <w:tc>
          <w:tcPr>
            <w:tcW w:type="dxa" w:w="960"/>
          </w:tcPr>
          <w:p>
            <w:r>
              <w:t>27.15363036497218298338745243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6395689.63857576</w:t>
            </w:r>
          </w:p>
        </w:tc>
        <w:tc>
          <w:tcPr>
            <w:tcW w:type="dxa" w:w="960"/>
          </w:tcPr>
          <w:p>
            <w:r>
              <w:t>9.698264319968199892191252166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2166881.20604800</w:t>
            </w:r>
          </w:p>
        </w:tc>
        <w:tc>
          <w:tcPr>
            <w:tcW w:type="dxa" w:w="960"/>
          </w:tcPr>
          <w:p>
            <w:r>
              <w:t>20.14975647654558557888697848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29263970.77766</w:t>
            </w:r>
          </w:p>
        </w:tc>
        <w:tc>
          <w:tcPr>
            <w:tcW w:type="dxa" w:w="960"/>
          </w:tcPr>
          <w:p>
            <w:r>
              <w:t>57.89522222544944180676462522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109394454.47573</w:t>
            </w:r>
          </w:p>
        </w:tc>
        <w:tc>
          <w:tcPr>
            <w:tcW w:type="dxa" w:w="960"/>
          </w:tcPr>
          <w:p>
            <w:r>
              <w:t>56.00834342153312465182845363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1678907.14884</w:t>
            </w:r>
          </w:p>
        </w:tc>
        <w:tc>
          <w:tcPr>
            <w:tcW w:type="dxa" w:w="960"/>
          </w:tcPr>
          <w:p>
            <w:r>
              <w:t>48.34373633011737275921732512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17666426.14679</w:t>
            </w:r>
          </w:p>
        </w:tc>
        <w:tc>
          <w:tcPr>
            <w:tcW w:type="dxa" w:w="960"/>
          </w:tcPr>
          <w:p>
            <w:r>
              <w:t>47.16019814154513864277288859</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0.0052290061597687685198855454245661540747073248842022</w:t>
            </w:r>
          </w:p>
        </w:tc>
        <w:tc>
          <w:tcPr>
            <w:tcW w:type="dxa" w:w="960"/>
          </w:tcPr>
          <w:p>
            <w:r>
              <w:t>0.45289720129398491192897196593938975160952190590698</w:t>
            </w:r>
          </w:p>
        </w:tc>
        <w:tc>
          <w:tcPr>
            <w:tcW w:type="dxa" w:w="960"/>
          </w:tcPr>
          <w:p>
            <w:r>
              <w:t>0.0023682022553082829852287496891920932567352905396474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0.010722703629068327752974482976085772501013708174501</w:t>
            </w:r>
          </w:p>
        </w:tc>
        <w:tc>
          <w:tcPr>
            <w:tcW w:type="dxa" w:w="960"/>
          </w:tcPr>
          <w:p>
            <w:r>
              <w:t>0.46320035089282051759368667304925475277386337601280</w:t>
            </w:r>
          </w:p>
        </w:tc>
        <w:tc>
          <w:tcPr>
            <w:tcW w:type="dxa" w:w="960"/>
          </w:tcPr>
          <w:p>
            <w:r>
              <w:t>0.0049667600835041693932009809119628433406606777787967</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0.015116687398987907902408353875587189103052247870529</w:t>
            </w:r>
          </w:p>
        </w:tc>
        <w:tc>
          <w:tcPr>
            <w:tcW w:type="dxa" w:w="960"/>
          </w:tcPr>
          <w:p>
            <w:r>
              <w:t>0.46636134892413957929690756563421853512722458332575</w:t>
            </w:r>
          </w:p>
        </w:tc>
        <w:tc>
          <w:tcPr>
            <w:tcW w:type="dxa" w:w="960"/>
          </w:tcPr>
          <w:p>
            <w:r>
              <w:t>0.0070498387266565436983305614509892615762091282198592</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0.019593307543025148927623278155450324661632943543030</w:t>
            </w:r>
          </w:p>
        </w:tc>
        <w:tc>
          <w:tcPr>
            <w:tcW w:type="dxa" w:w="960"/>
          </w:tcPr>
          <w:p>
            <w:r>
              <w:t>0.47412332299139652103545455911230727277690603468819</w:t>
            </w:r>
          </w:p>
        </w:tc>
        <w:tc>
          <w:tcPr>
            <w:tcW w:type="dxa" w:w="960"/>
          </w:tcPr>
          <w:p>
            <w:r>
              <w:t>0.0092896440806914784728423487464345402124552284133920</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0.024713792635916187092892211463183349553929508869601</w:t>
            </w:r>
          </w:p>
        </w:tc>
        <w:tc>
          <w:tcPr>
            <w:tcW w:type="dxa" w:w="960"/>
          </w:tcPr>
          <w:p>
            <w:r>
              <w:t>0.46467285830435458464798434907433509382361541956560</w:t>
            </w:r>
          </w:p>
        </w:tc>
        <w:tc>
          <w:tcPr>
            <w:tcW w:type="dxa" w:w="960"/>
          </w:tcPr>
          <w:p>
            <w:r>
              <w:t>0.011483828663672284197697620802403393798232817456971</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0.031576021500529880707317545849239791914923044380407</w:t>
            </w:r>
          </w:p>
        </w:tc>
        <w:tc>
          <w:tcPr>
            <w:tcW w:type="dxa" w:w="960"/>
          </w:tcPr>
          <w:p>
            <w:r>
              <w:t>0.47195207765416802653888314208038797406235472647077</w:t>
            </w:r>
          </w:p>
        </w:tc>
        <w:tc>
          <w:tcPr>
            <w:tcW w:type="dxa" w:w="960"/>
          </w:tcPr>
          <w:p>
            <w:r>
              <w:t>0.014902368951227757471331720559016280566478839087323</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0.041243408943577482954219032226417247599332253524763</w:t>
            </w:r>
          </w:p>
        </w:tc>
        <w:tc>
          <w:tcPr>
            <w:tcW w:type="dxa" w:w="960"/>
          </w:tcPr>
          <w:p>
            <w:r>
              <w:t>0.48158047441089887730608480970311321693794058591695</w:t>
            </w:r>
          </w:p>
        </w:tc>
        <w:tc>
          <w:tcPr>
            <w:tcW w:type="dxa" w:w="960"/>
          </w:tcPr>
          <w:p>
            <w:r>
              <w:t>0.019862020445370753928011446925797127761072127466005</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0.056422846193314201413528051307616681645908868692402</w:t>
            </w:r>
          </w:p>
        </w:tc>
        <w:tc>
          <w:tcPr>
            <w:tcW w:type="dxa" w:w="960"/>
          </w:tcPr>
          <w:p>
            <w:r>
              <w:t>0.47746421660256810803545467445996483323579180852321</w:t>
            </w:r>
          </w:p>
        </w:tc>
        <w:tc>
          <w:tcPr>
            <w:tcW w:type="dxa" w:w="960"/>
          </w:tcPr>
          <w:p>
            <w:r>
              <w:t>0.026939890056177957300257057050768118242626451010895</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0.093664084647108072497137492523406156206881536318932</w:t>
            </w:r>
          </w:p>
        </w:tc>
        <w:tc>
          <w:tcPr>
            <w:tcW w:type="dxa" w:w="960"/>
          </w:tcPr>
          <w:p>
            <w:r>
              <w:t>0.47852059510215077844437538804594709118652339597604</w:t>
            </w:r>
          </w:p>
        </w:tc>
        <w:tc>
          <w:tcPr>
            <w:tcW w:type="dxa" w:w="960"/>
          </w:tcPr>
          <w:p>
            <w:r>
              <w:t>0.044820193525032379039615327735798447961045540693034</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0.36885516338079308417844596916005627088301351873583</w:t>
            </w:r>
          </w:p>
        </w:tc>
        <w:tc>
          <w:tcPr>
            <w:tcW w:type="dxa" w:w="960"/>
          </w:tcPr>
          <w:p>
            <w:r>
              <w:t>0.49331411996254612650721062779392964787428129057503</w:t>
            </w:r>
          </w:p>
        </w:tc>
        <w:tc>
          <w:tcPr>
            <w:tcW w:type="dxa" w:w="960"/>
          </w:tcPr>
          <w:p>
            <w:r>
              <w:t>0.18196146031683711059714961703225393953934371162166</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fuera de la garantía SemVer 1.x.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a242df1ee782350358b90ab8837ae4dcd9445197dad22734f506dfde2818d254</w:t>
      </w:r>
    </w:p>
    <w:p>
      <w:r>
        <w:rPr>
          <w:b/>
        </w:rPr>
        <w:t>created_at</w:t>
      </w:r>
    </w:p>
    <w:p>
      <w:r>
        <w:rPr>
          <w:rFonts w:ascii="Consolas" w:hAnsi="Consolas"/>
        </w:rPr>
        <w:t>2026-07-18T17:55:53.947577Z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0f1551bae9dae111d64814f6aed0837147b3b74c</w:t>
      </w:r>
    </w:p>
    <w:p>
      <w:r>
        <w:rPr>
          <w:b/>
        </w:rPr>
        <w:t>library_versions</w:t>
      </w:r>
    </w:p>
    <w:p>
      <w:r>
        <w:rPr>
          <w:rFonts w:ascii="Consolas" w:hAnsi="Consolas"/>
        </w:rPr>
        <w:t>{</w:t>
        <w:br/>
        <w:t xml:space="preserve">  "PyYAML": "6.0.3",</w:t>
        <w:br/>
        <w:t xml:space="preserve">  "nikodym": "1.3.0",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"/private/var/folders/12/yxnq95f55hg06fyynglz1scw0000gn/T/tmpd7cx8d31/datasets/provisiones_consumo.parquet"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No disponible</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No disponible</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No disponible</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697376973.92291276</w:t>
      </w:r>
    </w:p>
    <w:p>
      <w:r>
        <w:rPr>
          <w:b/>
        </w:rPr>
        <w:t>total_provision_b</w:t>
      </w:r>
    </w:p>
    <w:p>
      <w:r>
        <w:rPr>
          <w:rFonts w:ascii="Consolas" w:hAnsi="Consolas"/>
        </w:rPr>
        <w:t>308644057.91</w:t>
      </w:r>
    </w:p>
    <w:p>
      <w:r>
        <w:rPr>
          <w:b/>
        </w:rPr>
        <w:t>total_reported_provision</w:t>
      </w:r>
    </w:p>
    <w:p>
      <w:r>
        <w:rPr>
          <w:rFonts w:ascii="Consolas" w:hAnsi="Consolas"/>
        </w:rPr>
        <w:t>697376973.92291276</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"source_b": "internal",</w:t>
        <w:br/>
        <w:t xml:space="preserve">  "tie_tolerance": "0.000000"</w:t>
        <w:br/>
        <w:t>}</w:t>
      </w:r>
    </w:p>
    <w:p>
      <w:pPr>
        <w:pStyle w:val="Heading2"/>
      </w:pPr>
      <w:r>
        <w:t>C.10 Método estándar de la CMF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"8079005433.760000",</w:t>
        <w:br/>
        <w:t xml:space="preserve">    "total_provision_amount": "697376973.922913",</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w:t>
      </w:r>
    </w:p>
    <w:p>
      <w:r>
        <w:rPr>
          <w:b/>
        </w:rPr>
        <w:t>total_provision_amount</w:t>
      </w:r>
    </w:p>
    <w:p>
      <w:r>
        <w:rPr>
          <w:rFonts w:ascii="Consolas" w:hAnsi="Consolas"/>
        </w:rPr>
        <w:t>697376973.92291276</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"0.038203224448922777376082337534204431258983735881240",</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config_hash=a242df1ee782350358b90ab8837ae4dcd9445197dad22734f506dfde2818d254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