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2026-07-18</w:t>
            </w:r>
          </w:p>
        </w:tc>
      </w:tr>
    </w:tbl>
    <w:p/>
    <w:p>
      <w:r>
        <w:rPr>
          <w:b/>
        </w:rPr>
        <w:t>Trazabilidad de la corrida (lineage)</w:t>
      </w:r>
    </w:p>
    <w:p>
      <w:r>
        <w:rPr>
          <w:rFonts w:ascii="Consolas" w:hAnsi="Consolas"/>
        </w:rPr>
        <w:t>config_hash=87b414024a3c8e028eeaaecae82ddef271e07dde78c2584acc2db639d9b4c7f3</w:t>
      </w:r>
    </w:p>
    <w:p>
      <w:r>
        <w:rPr>
          <w:rFonts w:ascii="Consolas" w:hAnsi="Consolas"/>
        </w:rPr>
        <w:t>data_hash=d713808d0604110d6c450358453cea172934d93eb56ccdcb0e7aea7279a94e3e</w:t>
      </w:r>
    </w:p>
    <w:p>
      <w:r>
        <w:rPr>
          <w:rFonts w:ascii="Consolas" w:hAnsi="Consolas"/>
        </w:rPr>
        <w:t>git_sha=5b752617440ee9c5224f598c64822cd62563a2fc</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SDD-16),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publicada por data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del config efectivo y de las cards publicadas por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Fuentes técnicas: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(SDD-16 en borrador, fuera de la garantía SemVer 1.x): los números son trazables y deterministas, pero la superficie puede cambiar entre versiones.</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step reportó advertencias de datos que el lector debe conocer: la exposición (EAD) se proyectó constante a lo largo de la vida de cada operación, porque el dataset no trae un perfil de exposición por período (código FALTA-DATO-IFRS-4).</w:t>
      </w:r>
    </w:p>
    <w:p>
      <w:r>
        <w:rPr>
          <w:b/>
          <w:sz w:val="18"/>
        </w:rPr>
        <w:t>Tabla «provisioning_ifrs9.summary»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31178795.530000</w:t>
            </w:r>
          </w:p>
        </w:tc>
        <w:tc>
          <w:tcPr>
            <w:tcW w:type="dxa" w:w="1080"/>
          </w:tcPr>
          <w:p>
            <w:r>
              <w:t>581332.243580</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3137275.520000</w:t>
            </w:r>
          </w:p>
        </w:tc>
        <w:tc>
          <w:tcPr>
            <w:tcW w:type="dxa" w:w="1080"/>
          </w:tcPr>
          <w:p>
            <w:r>
              <w:t>390914.010042</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2145243.750000</w:t>
            </w:r>
          </w:p>
        </w:tc>
        <w:tc>
          <w:tcPr>
            <w:tcW w:type="dxa" w:w="1080"/>
          </w:tcPr>
          <w:p>
            <w:r>
              <w:t>375806.682635</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18099269.130000</w:t>
            </w:r>
          </w:p>
        </w:tc>
        <w:tc>
          <w:tcPr>
            <w:tcW w:type="dxa" w:w="1080"/>
          </w:tcPr>
          <w:p>
            <w:r>
              <w:t>393131.231195</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1561397.650000</w:t>
            </w:r>
          </w:p>
        </w:tc>
        <w:tc>
          <w:tcPr>
            <w:tcW w:type="dxa" w:w="1080"/>
          </w:tcPr>
          <w:p>
            <w:r>
              <w:t>201559.528273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990794.930000</w:t>
            </w:r>
          </w:p>
        </w:tc>
        <w:tc>
          <w:tcPr>
            <w:tcW w:type="dxa" w:w="1080"/>
          </w:tcPr>
          <w:p>
            <w:r>
              <w:t>178471.854437</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43611647.090000</w:t>
            </w:r>
          </w:p>
        </w:tc>
        <w:tc>
          <w:tcPr>
            <w:tcW w:type="dxa" w:w="1080"/>
          </w:tcPr>
          <w:p>
            <w:r>
              <w:t>437771.237634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3693801.390000</w:t>
            </w:r>
          </w:p>
        </w:tc>
        <w:tc>
          <w:tcPr>
            <w:tcW w:type="dxa" w:w="1080"/>
          </w:tcPr>
          <w:p>
            <w:r>
              <w:t>303704.226219</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2244951.100000</w:t>
            </w:r>
          </w:p>
        </w:tc>
        <w:tc>
          <w:tcPr>
            <w:tcW w:type="dxa" w:w="1080"/>
          </w:tcPr>
          <w:p>
            <w:r>
              <w:t>251942.927804</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6614503.170000</w:t>
            </w:r>
          </w:p>
        </w:tc>
        <w:tc>
          <w:tcPr>
            <w:tcW w:type="dxa" w:w="1080"/>
          </w:tcPr>
          <w:p>
            <w:r>
              <w:t>159269.346809</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672454.410000</w:t>
            </w:r>
          </w:p>
        </w:tc>
        <w:tc>
          <w:tcPr>
            <w:tcW w:type="dxa" w:w="1080"/>
          </w:tcPr>
          <w:p>
            <w:r>
              <w:t>84444.873375</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375181.030000</w:t>
            </w:r>
          </w:p>
        </w:tc>
        <w:tc>
          <w:tcPr>
            <w:tcW w:type="dxa" w:w="1080"/>
          </w:tcPr>
          <w:p>
            <w:r>
              <w:t>64767.956594</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la corrida no publicó las cards de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(SDD-16 en borrador) fuera de la garantía SemVer 1.x.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87b414024a3c8e028eeaaecae82ddef271e07dde78c2584acc2db639d9b4c7f3</w:t>
      </w:r>
    </w:p>
    <w:p>
      <w:r>
        <w:rPr>
          <w:b/>
        </w:rPr>
        <w:t>created_at</w:t>
      </w:r>
    </w:p>
    <w:p>
      <w:r>
        <w:rPr>
          <w:rFonts w:ascii="Consolas" w:hAnsi="Consolas"/>
        </w:rPr>
        <w:t>2026-07-18T17:32:33.411422Z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5b752617440ee9c5224f598c64822cd62563a2fc</w:t>
      </w:r>
    </w:p>
    <w:p>
      <w:r>
        <w:rPr>
          <w:b/>
        </w:rPr>
        <w:t>library_versions</w:t>
      </w:r>
    </w:p>
    <w:p>
      <w:r>
        <w:rPr>
          <w:rFonts w:ascii="Consolas" w:hAnsi="Consolas"/>
        </w:rPr>
        <w:t>{</w:t>
        <w:br/>
        <w:t xml:space="preserve">  "PyYAML": "6.0.3",</w:t>
        <w:br/>
        <w:t xml:space="preserve">  "nikodym": "1.3.0",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"/private/var/folders/12/yxnq95f55hg06fyynglz1scw0000gn/T/tmp0ezh_iui/datasets/ifrs9_retail_latam.parquet"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No disponible</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"11002.310349",</w:t>
        <w:br/>
        <w:t xml:space="preserve">    "converged": "True",</w:t>
        <w:br/>
        <w:t xml:space="preserve">    "deviance": "10984.310349",</w:t>
        <w:br/>
        <w:t xml:space="preserve">    "df_model": 8,</w:t>
        <w:br/>
        <w:t xml:space="preserve">    "df_resid": 26636,</w:t>
        <w:br/>
        <w:t xml:space="preserve">    "llf": "-5492.155174",</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none</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114325314.700000</w:t>
      </w:r>
    </w:p>
    <w:p>
      <w:r>
        <w:rPr>
          <w:b/>
        </w:rPr>
        <w:t>total_ecl_reported</w:t>
      </w:r>
    </w:p>
    <w:p>
      <w:r>
        <w:rPr>
          <w:rFonts w:ascii="Consolas" w:hAnsi="Consolas"/>
        </w:rPr>
        <w:t>3423116.118598</w:t>
      </w:r>
    </w:p>
    <w:p>
      <w:pPr>
        <w:pStyle w:val="Heading3"/>
      </w:pPr>
      <w:r>
        <w:t>Métricas estructuradas</w:t>
      </w:r>
    </w:p>
    <w:p>
      <w:r>
        <w:rPr>
          <w:b/>
        </w:rPr>
        <w:t>ecl_by_scenario</w:t>
      </w:r>
    </w:p>
    <w:p>
      <w:r>
        <w:rPr>
          <w:rFonts w:ascii="Consolas" w:hAnsi="Consolas"/>
        </w:rPr>
        <w:t>{</w:t>
        <w:br/>
        <w:t xml:space="preserve">  "base": "6911516.428053"</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config_hash=87b414024a3c8e028eeaaecae82ddef271e07dde78c2584acc2db639d9b4c7f3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