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2026-08-09</w:t>
            </w:r>
          </w:p>
        </w:tc>
      </w:tr>
    </w:tbl>
    <w:p/>
    <w:p>
      <w:r>
        <w:rPr>
          <w:b/>
        </w:rPr>
        <w:t>Trazabilidad de la corrida (lineage)</w:t>
      </w:r>
    </w:p>
    <w:p>
      <w:r>
        <w:rPr>
          <w:rFonts w:ascii="Consolas" w:hAnsi="Consolas"/>
        </w:rPr>
        <w:t>config_hash=857b06eef5aff267c36076641ffbdbf2fb17836511c206ea04fc5c160983886d</w:t>
      </w:r>
    </w:p>
    <w:p>
      <w:r>
        <w:rPr>
          <w:rFonts w:ascii="Consolas" w:hAnsi="Consolas"/>
        </w:rPr>
        <w:t>data_hash=7dcaf3d3cb708e97ff04697d5dc4c784057890291a2497e934f37a53854138b3</w:t>
      </w:r>
    </w:p>
    <w:p>
      <w:r>
        <w:rPr>
          <w:rFonts w:ascii="Consolas" w:hAnsi="Consolas"/>
        </w:rPr>
        <w:t>git_sha=a4e24831187244ca147f92d3ea3c6bef5ad3e503</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Peor PSI entre score y PD ·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Peor PSI entre score y PD · PD calibrada</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que resultó ser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peor PSI entre score y PD en Desarrollo vs. Holdout es 0,0122 (banda «Estable»); corresponde al score. La distribución de la magnitud ganadora se mantiene, de modo que no hay desplazamiento poblacional.</w:t>
      </w:r>
    </w:p>
    <w:p>
      <w:r>
        <w:t>El peor PSI entre score y PD en Desarrollo vs. OOT es 0,0147 (banda «Estable»); corresponde a la PD calibrada. La distribución de la magnitud ganadora se mantiene, de modo que no hay desplazamiento poblacional.</w:t>
      </w:r>
    </w:p>
    <w:p>
      <w:r>
        <w:t>A nivel de variable, el mayor CSI corresponde a «ingreso_mensual__points» con 0,0093.</w:t>
      </w:r>
    </w:p>
    <w:p>
      <w:r>
        <w:t>Se configuraron hasta 10 tramos por magnitud para el PSI,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Los montos van en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Los montos van en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estima la pérdida esperada por grupo homogéneo como provisión = exposición del grupo · PD estimada · pérdida dado el incumplimiento. Sobre esta cartera suma $308.644.058.</w:t>
      </w:r>
    </w:p>
    <w:p>
      <w:r>
        <w:t>La PD proviene de la PD calibrada del scorecard —el modelo del banco entra por aquí en el número reportado—, agrupada en 10 grupos por banda de score.</w:t>
      </w:r>
    </w:p>
    <w:p>
      <w:r>
        <w:t>La severidad la aporta la institución, columna por operación, y la del grupo es el promedio ponderado por la exposición.</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(peor PSI entre score y PD): Desarrollo vs. Holdout 0,0122 («Estable»; score) y Desarrollo vs. OOT 0,0147 («Estable»; PD calibrada).</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857b06eef5aff267c36076641ffbdbf2fb17836511c206ea04fc5c160983886d</w:t>
      </w:r>
    </w:p>
    <w:p>
      <w:r>
        <w:rPr>
          <w:b/>
        </w:rPr>
        <w:t>created_at</w:t>
      </w:r>
    </w:p>
    <w:p>
      <w:r>
        <w:rPr>
          <w:rFonts w:ascii="Consolas" w:hAnsi="Consolas"/>
        </w:rPr>
        <w:t>2026-08-09T18:45:16.806536Z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a4e24831187244ca147f92d3ea3c6bef5ad3e503</w:t>
      </w:r>
    </w:p>
    <w:p>
      <w:r>
        <w:rPr>
          <w:b/>
        </w:rPr>
        <w:t>library_versions</w:t>
      </w:r>
    </w:p>
    <w:p>
      <w:r>
        <w:rPr>
          <w:rFonts w:ascii="Consolas" w:hAnsi="Consolas"/>
        </w:rPr>
        <w:t>{</w:t>
        <w:br/>
        <w:t xml:space="preserve">  "PyYAML": "6.0.3",</w:t>
        <w:br/>
        <w:t xml:space="preserve">  "nikodym": "1.11.0",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psi_metric_by_comparison</w:t>
      </w:r>
    </w:p>
    <w:p>
      <w:r>
        <w:rPr>
          <w:rFonts w:ascii="Consolas" w:hAnsi="Consolas"/>
        </w:rPr>
        <w:t>{</w:t>
        <w:br/>
        <w:t xml:space="preserve">  "dev_vs_holdout": "score_psi",</w:t>
        <w:br/>
        <w:t xml:space="preserve">  "dev_vs_oot": "pd_psi"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segmentation</w:t>
      </w:r>
    </w:p>
    <w:p>
      <w:r>
        <w:rPr>
          <w:rFonts w:ascii="Consolas" w:hAnsi="Consolas"/>
        </w:rPr>
        <w:t>{</w:t>
        <w:br/>
        <w:t xml:space="preserve">  "closed": true,</w:t>
        <w:br/>
        <w:t xml:space="preserve">  "column": "cmf_portfolio",</w:t>
        <w:br/>
        <w:t xml:space="preserve">  "owner": "regime",</w:t>
        <w:br/>
        <w:t xml:space="preserve">  "regime": "CL-CMF-B1",</w:t>
        <w:br/>
        <w:t xml:space="preserve">  "scheme_id": "cl-cmf-b1-portfolios",</w:t>
        <w:br/>
        <w:t xml:space="preserve">  "values": [</w:t>
        <w:br/>
        <w:t xml:space="preserve">    "commercial_individual",</w:t>
        <w:br/>
        <w:t xml:space="preserve">    "commercial_group_leasing",</w:t>
        <w:br/>
        <w:t xml:space="preserve">    "commercial_group_student",</w:t>
        <w:br/>
        <w:t xml:space="preserve">    "commercial_group_generic_factoring",</w:t>
        <w:br/>
        <w:t xml:space="preserve">    "consumer",</w:t>
        <w:br/>
        <w:t xml:space="preserve">    "housing"</w:t>
        <w:br/>
        <w:t xml:space="preserve">  ],</w:t>
        <w:br/>
        <w:t xml:space="preserve">  "version": "2025-01"</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avisos</w:t>
      </w:r>
    </w:p>
    <w:p>
      <w:r>
        <w:rPr>
          <w:rFonts w:ascii="Consolas" w:hAnsi="Consolas"/>
        </w:rPr>
        <w:t>[]</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"portfolio_scheme": null,</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segmentation</w:t>
      </w:r>
    </w:p>
    <w:p>
      <w:r>
        <w:rPr>
          <w:rFonts w:ascii="Consolas" w:hAnsi="Consolas"/>
        </w:rPr>
        <w:t>—</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"metodo": "provisión = exposición del grupo · PD estimada · pérdida dado el incumplimiento.",</w:t>
        <w:br/>
        <w:t xml:space="preserve">  "n_score_bands": 10,</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config_hash=857b06eef5aff267c36076641ffbdbf2fb17836511c206ea04fc5c160983886d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