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2026-07-13</w:t>
            </w:r>
          </w:p>
        </w:tc>
      </w:tr>
    </w:tbl>
    <w:p/>
    <w:p>
      <w:r>
        <w:rPr>
          <w:b/>
        </w:rPr>
        <w:t>Trazabilidad de la corrida (lineage)</w:t>
      </w:r>
    </w:p>
    <w:p>
      <w:r>
        <w:rPr>
          <w:rFonts w:ascii="Consolas" w:hAnsi="Consolas"/>
        </w:rPr>
        <w:t>config_hash=903e6d4cc4a01bbbfadd3b00910429dbded3e725c706dc10c71a88d3252dcc0d</w:t>
      </w:r>
    </w:p>
    <w:p>
      <w:r>
        <w:rPr>
          <w:rFonts w:ascii="Consolas" w:hAnsi="Consolas"/>
        </w:rPr>
        <w:t>data_hash=74c5d9ddeca8ff71853623d20ace015d0788564549339d61bfb66f24dfadfcc8</w:t>
      </w:r>
    </w:p>
    <w:p>
      <w:r>
        <w:rPr>
          <w:rFonts w:ascii="Consolas" w:hAnsi="Consolas"/>
        </w:rPr>
        <w:t>git_sha=1832ffd3265d4cd685466617568f460e0cfa50d9</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No disponible</w:t>
            </w:r>
          </w:p>
        </w:tc>
        <w:tc>
          <w:tcPr>
            <w:tcW w:type="dxa" w:w="576"/>
          </w:tcPr>
          <w:p>
            <w:r>
              <w:t>No disponible</w:t>
            </w:r>
          </w:p>
        </w:tc>
        <w:tc>
          <w:tcPr>
            <w:tcW w:type="dxa" w:w="576"/>
          </w:tcPr>
          <w:p>
            <w:r>
              <w:t>1.001115</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No disponible</w:t>
            </w:r>
          </w:p>
        </w:tc>
        <w:tc>
          <w:tcPr>
            <w:tcW w:type="dxa" w:w="576"/>
          </w:tcPr>
          <w:p>
            <w:r>
              <w:t>No disponible</w:t>
            </w:r>
          </w:p>
        </w:tc>
        <w:tc>
          <w:tcPr>
            <w:tcW w:type="dxa" w:w="576"/>
          </w:tcPr>
          <w:p>
            <w:r>
              <w:t>1.000130</w:t>
            </w:r>
          </w:p>
        </w:tc>
        <w:tc>
          <w:tcPr>
            <w:tcW w:type="dxa" w:w="576"/>
          </w:tcPr>
          <w:p>
            <w:r>
              <w:t>No disponible</w:t>
            </w:r>
          </w:p>
        </w:tc>
        <w:tc>
          <w:tcPr>
            <w:tcW w:type="dxa" w:w="576"/>
          </w:tcPr>
          <w:p>
            <w:r>
              <w:t>No disponible</w:t>
            </w:r>
          </w:p>
        </w:tc>
        <w:tc>
          <w:tcPr>
            <w:tcW w:type="dxa" w:w="576"/>
          </w:tcPr>
          <w:p>
            <w:r>
              <w:t>No disponible</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No disponible</w:t>
            </w:r>
          </w:p>
        </w:tc>
        <w:tc>
          <w:tcPr>
            <w:tcW w:type="dxa" w:w="576"/>
          </w:tcPr>
          <w:p>
            <w:r>
              <w:t>No disponible</w:t>
            </w:r>
          </w:p>
        </w:tc>
        <w:tc>
          <w:tcPr>
            <w:tcW w:type="dxa" w:w="576"/>
          </w:tcPr>
          <w:p>
            <w:r>
              <w:t>1.000568</w:t>
            </w:r>
          </w:p>
        </w:tc>
        <w:tc>
          <w:tcPr>
            <w:tcW w:type="dxa" w:w="576"/>
          </w:tcPr>
          <w:p>
            <w:r>
              <w:t>No disponible</w:t>
            </w:r>
          </w:p>
        </w:tc>
        <w:tc>
          <w:tcPr>
            <w:tcW w:type="dxa" w:w="576"/>
          </w:tcPr>
          <w:p>
            <w:r>
              <w:t>No disponible</w:t>
            </w:r>
          </w:p>
        </w:tc>
        <w:tc>
          <w:tcPr>
            <w:tcW w:type="dxa" w:w="576"/>
          </w:tcPr>
          <w:p>
            <w:r>
              <w:t>No disponible</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No disponible</w:t>
            </w:r>
          </w:p>
        </w:tc>
        <w:tc>
          <w:tcPr>
            <w:tcW w:type="dxa" w:w="576"/>
          </w:tcPr>
          <w:p>
            <w:r>
              <w:t>No disponible</w:t>
            </w:r>
          </w:p>
        </w:tc>
        <w:tc>
          <w:tcPr>
            <w:tcW w:type="dxa" w:w="576"/>
          </w:tcPr>
          <w:p>
            <w:r>
              <w:t>1.001595</w:t>
            </w:r>
          </w:p>
        </w:tc>
        <w:tc>
          <w:tcPr>
            <w:tcW w:type="dxa" w:w="576"/>
          </w:tcPr>
          <w:p>
            <w:r>
              <w:t>No disponible</w:t>
            </w:r>
          </w:p>
        </w:tc>
        <w:tc>
          <w:tcPr>
            <w:tcW w:type="dxa" w:w="576"/>
          </w:tcPr>
          <w:p>
            <w:r>
              <w:t>No disponible</w:t>
            </w:r>
          </w:p>
        </w:tc>
        <w:tc>
          <w:tcPr>
            <w:tcW w:type="dxa" w:w="576"/>
          </w:tcPr>
          <w:p>
            <w:r>
              <w:t>No disponible</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none</w:t>
            </w:r>
          </w:p>
        </w:tc>
        <w:tc>
          <w:tcPr>
            <w:tcW w:type="dxa" w:w="576"/>
          </w:tcPr>
          <w:p>
            <w:r>
              <w:t>0.514622</w:t>
            </w:r>
          </w:p>
        </w:tc>
        <w:tc>
          <w:tcPr>
            <w:tcW w:type="dxa" w:w="576"/>
          </w:tcPr>
          <w:p>
            <w:r>
              <w:t>0.029244</w:t>
            </w:r>
          </w:p>
        </w:tc>
        <w:tc>
          <w:tcPr>
            <w:tcW w:type="dxa" w:w="576"/>
          </w:tcPr>
          <w:p>
            <w:r>
              <w:t>0.023399</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No disponible</w:t>
            </w:r>
          </w:p>
        </w:tc>
        <w:tc>
          <w:tcPr>
            <w:tcW w:type="dxa" w:w="576"/>
          </w:tcPr>
          <w:p>
            <w:r>
              <w:t>No disponible</w:t>
            </w:r>
          </w:p>
        </w:tc>
        <w:tc>
          <w:tcPr>
            <w:tcW w:type="dxa" w:w="576"/>
          </w:tcPr>
          <w:p>
            <w:r>
              <w:t>1.000578</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No disponible</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No disponible</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No disponible</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No disponible</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la validación del scorecard: discriminación, calibración y estabilidad. El backtesting, la integración con IFRS 9 y el cálculo de provisiones corresponden a fases posteriores y no se cubren ni se infieren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903e6d4cc4a01bbbfadd3b00910429dbded3e725c706dc10c71a88d3252dcc0d</w:t>
      </w:r>
    </w:p>
    <w:p>
      <w:r>
        <w:rPr>
          <w:b/>
        </w:rPr>
        <w:t>created_at</w:t>
      </w:r>
    </w:p>
    <w:p>
      <w:r>
        <w:rPr>
          <w:rFonts w:ascii="Consolas" w:hAnsi="Consolas"/>
        </w:rPr>
        <w:t>2026-07-13T16:02:32.675158Z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1832ffd3265d4cd685466617568f460e0cfa50d9</w:t>
      </w:r>
    </w:p>
    <w:p>
      <w:r>
        <w:rPr>
          <w:b/>
        </w:rPr>
        <w:t>library_versions</w:t>
      </w:r>
    </w:p>
    <w:p>
      <w:r>
        <w:rPr>
          <w:rFonts w:ascii="Consolas" w:hAnsi="Consolas"/>
        </w:rPr>
        <w:t>{</w:t>
        <w:br/>
        <w:t xml:space="preserve">  "PyYAML": "6.0.3",</w:t>
        <w:br/>
        <w:t xml:space="preserve">  "nikodym": "1.1.1",</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C.4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C.5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No disponible</w:t>
      </w:r>
    </w:p>
    <w:p>
      <w:r>
        <w:rPr>
          <w:b/>
        </w:rPr>
        <w:t>target_pd</w:t>
      </w:r>
    </w:p>
    <w:p>
      <w:r>
        <w:rPr>
          <w:rFonts w:ascii="Consolas" w:hAnsi="Consolas"/>
        </w:rPr>
        <w:t>0.200000</w:t>
      </w:r>
    </w:p>
    <w:p>
      <w:r>
        <w:rPr>
          <w:b/>
        </w:rPr>
        <w:t>ties_created</w:t>
      </w:r>
    </w:p>
    <w:p>
      <w:r>
        <w:rPr>
          <w:rFonts w:ascii="Consolas" w:hAnsi="Consolas"/>
        </w:rPr>
        <w:t>0</w:t>
      </w:r>
    </w:p>
    <w:p>
      <w:pPr>
        <w:pStyle w:val="Heading2"/>
      </w:pPr>
      <w:r>
        <w:t>C.6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C.7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config_hash=903e6d4cc4a01bbbfadd3b00910429dbded3e725c706dc10c71a88d3252dcc0d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