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2026-07-13</w:t>
            </w:r>
          </w:p>
        </w:tc>
      </w:tr>
    </w:tbl>
    <w:p/>
    <w:p>
      <w:r>
        <w:rPr>
          <w:b/>
        </w:rPr>
        <w:t>Trazabilidad de la corrida (lineage)</w:t>
      </w:r>
    </w:p>
    <w:p>
      <w:r>
        <w:rPr>
          <w:rFonts w:ascii="Consolas" w:hAnsi="Consolas"/>
        </w:rPr>
        <w:t>config_hash=07b692a99af37fd47c9d0e5fd8e8dd5a407be89903b01be3337ae38fa4c3cea8</w:t>
      </w:r>
    </w:p>
    <w:p>
      <w:r>
        <w:rPr>
          <w:rFonts w:ascii="Consolas" w:hAnsi="Consolas"/>
        </w:rPr>
        <w:t>data_hash=74c5d9ddeca8ff71853623d20ace015d0788564549339d61bfb66f24dfadfcc8</w:t>
      </w:r>
    </w:p>
    <w:p>
      <w:r>
        <w:rPr>
          <w:rFonts w:ascii="Consolas" w:hAnsi="Consolas"/>
        </w:rPr>
        <w:t>git_sha=1be62ea245ca7237fe31a988a1cf54e71bbac020</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la validación del scorecard: discriminación, calibración y estabilidad. El backtesting, la integración con IFRS 9 y el cálculo de provisiones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07b692a99af37fd47c9d0e5fd8e8dd5a407be89903b01be3337ae38fa4c3cea8</w:t>
      </w:r>
    </w:p>
    <w:p>
      <w:r>
        <w:rPr>
          <w:b/>
        </w:rPr>
        <w:t>created_at</w:t>
      </w:r>
    </w:p>
    <w:p>
      <w:r>
        <w:rPr>
          <w:rFonts w:ascii="Consolas" w:hAnsi="Consolas"/>
        </w:rPr>
        <w:t>2026-07-13T15:25:20.749836Z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1be62ea245ca7237fe31a988a1cf54e71bbac020</w:t>
      </w:r>
    </w:p>
    <w:p>
      <w:r>
        <w:rPr>
          <w:b/>
        </w:rPr>
        <w:t>library_versions</w:t>
      </w:r>
    </w:p>
    <w:p>
      <w:r>
        <w:rPr>
          <w:rFonts w:ascii="Consolas" w:hAnsi="Consolas"/>
        </w:rPr>
        <w:t>{</w:t>
        <w:br/>
        <w:t xml:space="preserve">  "PyYAML": "6.0.3",</w:t>
        <w:br/>
        <w:t xml:space="preserve">  "nikodym": "1.1.0",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config_hash=07b692a99af37fd47c9d0e5fd8e8dd5a407be89903b01be3337ae38fa4c3cea8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