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config_hash=cbe5d9fa856ae838623e88974bf1ea783825289ff8580c9b02098a0392c8f4d4</w:t>
      </w:r>
    </w:p>
    <w:p>
      <w:r>
        <w:rPr>
          <w:rFonts w:ascii="Consolas" w:hAnsi="Consolas"/>
        </w:rPr>
        <w:t>data_hash=d713808d0604110d6c450358453cea172934d93eb56ccdcb0e7aea7279a94e3e</w:t>
      </w:r>
    </w:p>
    <w:p>
      <w:r>
        <w:rPr>
          <w:rFonts w:ascii="Consolas" w:hAnsi="Consolas"/>
        </w:rPr>
        <w:t>git_sha=91921e7fd5df1f9ba2f0379542198681e902c80c</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SDD-16),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publicada por data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del config efectivo y de las cards publicadas por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Fuentes técnicas: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(SDD-16 en borrador, fuera de la garantía SemVer 1.x): los números son trazables y deterministas, pero la superficie puede cambiar entre versiones.</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step reportó advertencias de datos que el lector debe conocer: la exposición (EAD) se proyectó constante a lo largo de la vida de cada operación, porque el dataset no trae un perfil de exposición por período (código FALTA-DATO-IFRS-4).</w:t>
      </w:r>
    </w:p>
    <w:p>
      <w:r>
        <w:rPr>
          <w:b/>
          <w:sz w:val="18"/>
        </w:rPr>
        <w:t>Tabla «provisioning_ifrs9.summary»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31178795.530000</w:t>
            </w:r>
          </w:p>
        </w:tc>
        <w:tc>
          <w:tcPr>
            <w:tcW w:type="dxa" w:w="1080"/>
          </w:tcPr>
          <w:p>
            <w:r>
              <w:t>581332.243580</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3137275.520000</w:t>
            </w:r>
          </w:p>
        </w:tc>
        <w:tc>
          <w:tcPr>
            <w:tcW w:type="dxa" w:w="1080"/>
          </w:tcPr>
          <w:p>
            <w:r>
              <w:t>390914.010042</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2145243.750000</w:t>
            </w:r>
          </w:p>
        </w:tc>
        <w:tc>
          <w:tcPr>
            <w:tcW w:type="dxa" w:w="1080"/>
          </w:tcPr>
          <w:p>
            <w:r>
              <w:t>375806.682635</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18099269.130000</w:t>
            </w:r>
          </w:p>
        </w:tc>
        <w:tc>
          <w:tcPr>
            <w:tcW w:type="dxa" w:w="1080"/>
          </w:tcPr>
          <w:p>
            <w:r>
              <w:t>393131.231195</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1561397.650000</w:t>
            </w:r>
          </w:p>
        </w:tc>
        <w:tc>
          <w:tcPr>
            <w:tcW w:type="dxa" w:w="1080"/>
          </w:tcPr>
          <w:p>
            <w:r>
              <w:t>201559.528273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990794.930000</w:t>
            </w:r>
          </w:p>
        </w:tc>
        <w:tc>
          <w:tcPr>
            <w:tcW w:type="dxa" w:w="1080"/>
          </w:tcPr>
          <w:p>
            <w:r>
              <w:t>178471.854437</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43611647.090000</w:t>
            </w:r>
          </w:p>
        </w:tc>
        <w:tc>
          <w:tcPr>
            <w:tcW w:type="dxa" w:w="1080"/>
          </w:tcPr>
          <w:p>
            <w:r>
              <w:t>437771.237634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3693801.390000</w:t>
            </w:r>
          </w:p>
        </w:tc>
        <w:tc>
          <w:tcPr>
            <w:tcW w:type="dxa" w:w="1080"/>
          </w:tcPr>
          <w:p>
            <w:r>
              <w:t>303704.226219</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2244951.100000</w:t>
            </w:r>
          </w:p>
        </w:tc>
        <w:tc>
          <w:tcPr>
            <w:tcW w:type="dxa" w:w="1080"/>
          </w:tcPr>
          <w:p>
            <w:r>
              <w:t>251942.927804</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6614503.170000</w:t>
            </w:r>
          </w:p>
        </w:tc>
        <w:tc>
          <w:tcPr>
            <w:tcW w:type="dxa" w:w="1080"/>
          </w:tcPr>
          <w:p>
            <w:r>
              <w:t>159269.346809</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672454.410000</w:t>
            </w:r>
          </w:p>
        </w:tc>
        <w:tc>
          <w:tcPr>
            <w:tcW w:type="dxa" w:w="1080"/>
          </w:tcPr>
          <w:p>
            <w:r>
              <w:t>84444.873375</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375181.030000</w:t>
            </w:r>
          </w:p>
        </w:tc>
        <w:tc>
          <w:tcPr>
            <w:tcW w:type="dxa" w:w="1080"/>
          </w:tcPr>
          <w:p>
            <w:r>
              <w:t>64767.956594</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la corrida no publicó las cards de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(SDD-16 en borrador) fuera de la garantía SemVer 1.x.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cbe5d9fa856ae838623e88974bf1ea783825289ff8580c9b02098a0392c8f4d4</w:t>
      </w:r>
    </w:p>
    <w:p>
      <w:r>
        <w:rPr>
          <w:b/>
        </w:rPr>
        <w:t>created_at</w:t>
      </w:r>
    </w:p>
    <w:p>
      <w:r>
        <w:rPr>
          <w:rFonts w:ascii="Consolas" w:hAnsi="Consolas"/>
        </w:rPr>
        <w:t>2026-07-21T01:18:51.899514Z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91921e7fd5df1f9ba2f0379542198681e902c80c</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"11002.310349",</w:t>
        <w:br/>
        <w:t xml:space="preserve">    "converged": "True",</w:t>
        <w:br/>
        <w:t xml:space="preserve">    "deviance": "10984.310349",</w:t>
        <w:br/>
        <w:t xml:space="preserve">    "df_model": 8,</w:t>
        <w:br/>
        <w:t xml:space="preserve">    "df_resid": 26636,</w:t>
        <w:br/>
        <w:t xml:space="preserve">    "llf": "-5492.155174",</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114325314.700000</w:t>
      </w:r>
    </w:p>
    <w:p>
      <w:r>
        <w:rPr>
          <w:b/>
        </w:rPr>
        <w:t>total_ecl_reported</w:t>
      </w:r>
    </w:p>
    <w:p>
      <w:r>
        <w:rPr>
          <w:rFonts w:ascii="Consolas" w:hAnsi="Consolas"/>
        </w:rPr>
        <w:t>3423116.118598</w:t>
      </w:r>
    </w:p>
    <w:p>
      <w:pPr>
        <w:pStyle w:val="Heading3"/>
      </w:pPr>
      <w:r>
        <w:t>Métricas estructuradas</w:t>
      </w:r>
    </w:p>
    <w:p>
      <w:r>
        <w:rPr>
          <w:b/>
        </w:rPr>
        <w:t>ecl_by_scenario</w:t>
      </w:r>
    </w:p>
    <w:p>
      <w:r>
        <w:rPr>
          <w:rFonts w:ascii="Consolas" w:hAnsi="Consolas"/>
        </w:rPr>
        <w:t>{</w:t>
        <w:br/>
        <w:t xml:space="preserve">  "base": "6911516.428053"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config_hash=cbe5d9fa856ae838623e88974bf1ea783825289ff8580c9b02098a0392c8f4d4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