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Provisiones IFRS 9 / ECL</w:t>
      </w:r>
    </w:p>
    <w:p>
      <w:r>
        <w:rPr>
          <w:b/>
        </w:rPr>
        <w:t>USO INTERNO — CONFIDENCIAL</w:t>
      </w:r>
    </w:p>
    <w:tbl>
      <w:tblPr>
        <w:tblStyle w:val="TableGrid"/>
        <w:tblW w:type="auto" w:w="0"/>
        <w:tblLook w:firstColumn="1" w:firstRow="1" w:lastColumn="0" w:lastRow="0" w:noHBand="0" w:noVBand="1" w:val="04A0"/>
      </w:tblPr>
      <w:tblGrid>
        <w:gridCol w:w="4320"/>
        <w:gridCol w:w="4320"/>
      </w:tblGrid>
      <w:tr>
        <w:tc>
          <w:tcPr>
            <w:tcW w:type="dxa" w:w="4320"/>
          </w:tcPr>
          <w:p>
            <w:r>
              <w:rPr>
                <w:b/>
              </w:rPr>
              <w:t>Modelo</w:t>
            </w:r>
          </w:p>
        </w:tc>
        <w:tc>
          <w:tcPr>
            <w:tcW w:type="dxa" w:w="4320"/>
          </w:tcPr>
          <w:p>
            <w:r/>
          </w:p>
        </w:tc>
      </w:tr>
      <w:tr>
        <w:tc>
          <w:tcPr>
            <w:tcW w:type="dxa" w:w="4320"/>
          </w:tcPr>
          <w:p>
            <w:r>
              <w:rPr>
                <w:b/>
              </w:rPr>
              <w:t>Entidad</w:t>
            </w:r>
          </w:p>
        </w:tc>
        <w:tc>
          <w:tcPr>
            <w:tcW w:type="dxa" w:w="4320"/>
          </w:tcPr>
          <w:p>
            <w:r/>
          </w:p>
        </w:tc>
      </w:tr>
      <w:tr>
        <w:tc>
          <w:tcPr>
            <w:tcW w:type="dxa" w:w="4320"/>
          </w:tcPr>
          <w:p>
            <w:r>
              <w:rPr>
                <w:b/>
              </w:rPr>
              <w:t>Cartera</w:t>
            </w:r>
          </w:p>
        </w:tc>
        <w:tc>
          <w:tcPr>
            <w:tcW w:type="dxa" w:w="4320"/>
          </w:tcPr>
          <w:p>
            <w:r/>
          </w:p>
        </w:tc>
      </w:tr>
      <w:tr>
        <w:tc>
          <w:tcPr>
            <w:tcW w:type="dxa" w:w="4320"/>
          </w:tcPr>
          <w:p>
            <w:r>
              <w:rPr>
                <w:b/>
              </w:rPr>
              <w:t>Responsable del desarrollo</w:t>
            </w:r>
          </w:p>
        </w:tc>
        <w:tc>
          <w:tcPr>
            <w:tcW w:type="dxa" w:w="4320"/>
          </w:tcPr>
          <w:p>
            <w:r/>
          </w:p>
        </w:tc>
      </w:tr>
      <w:tr>
        <w:tc>
          <w:tcPr>
            <w:tcW w:type="dxa" w:w="4320"/>
          </w:tcPr>
          <w:p>
            <w:r>
              <w:rPr>
                <w:b/>
              </w:rPr>
              <w:t>Versión del informe</w:t>
            </w:r>
          </w:p>
        </w:tc>
        <w:tc>
          <w:tcPr>
            <w:tcW w:type="dxa" w:w="4320"/>
          </w:tcPr>
          <w:p>
            <w:r/>
          </w:p>
        </w:tc>
      </w:tr>
      <w:tr>
        <w:tc>
          <w:tcPr>
            <w:tcW w:type="dxa" w:w="4320"/>
          </w:tcPr>
          <w:p>
            <w:r>
              <w:rPr>
                <w:b/>
              </w:rPr>
              <w:t>Fecha de emisión</w:t>
            </w:r>
          </w:p>
        </w:tc>
        <w:tc>
          <w:tcPr>
            <w:tcW w:type="dxa" w:w="4320"/>
          </w:tcPr>
          <w:p>
            <w:r>
              <w:t>2026-09-15</w:t>
            </w:r>
          </w:p>
        </w:tc>
      </w:tr>
    </w:tbl>
    <w:p/>
    <w:p>
      <w:r>
        <w:rPr>
          <w:b/>
        </w:rPr>
        <w:t>Trazabilidad de la corrida (lineage)</w:t>
      </w:r>
    </w:p>
    <w:p>
      <w:r>
        <w:rPr>
          <w:rFonts w:ascii="Consolas" w:hAnsi="Consolas"/>
        </w:rPr>
        <w:t>config_hash=013e69dc4c96e03ee87e9f3f54bcf5e1f6e6fd56b5a1b1ffdd5bf021093360b6</w:t>
      </w:r>
    </w:p>
    <w:p>
      <w:r>
        <w:rPr>
          <w:rFonts w:ascii="Consolas" w:hAnsi="Consolas"/>
        </w:rPr>
        <w:t>data_hash=d713808d0604110d6c450358453cea172934d93eb56ccdcb0e7aea7279a94e3e</w:t>
      </w:r>
    </w:p>
    <w:p>
      <w:r>
        <w:rPr>
          <w:rFonts w:ascii="Consolas" w:hAnsi="Consolas"/>
        </w:rPr>
        <w:t>git_sha=104226e0c1bb2c4a46356ca4a52be047e738b6d7</w:t>
      </w:r>
    </w:p>
    <w:p>
      <w:r>
        <w:rPr>
          <w:rFonts w:ascii="Consolas" w:hAnsi="Consolas"/>
        </w:rPr>
        <w:t>root_seed=20240706</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w:t>
            </w:r>
          </w:p>
        </w:tc>
        <w:tc>
          <w:tcPr>
            <w:tcW w:type="dxa" w:w="2880"/>
          </w:tcPr>
          <w:p>
            <w:r>
              <w:rPr>
                <w:b/>
              </w:rPr>
              <w:t>Nombre</w:t>
            </w:r>
          </w:p>
        </w:tc>
        <w:tc>
          <w:tcPr>
            <w:tcW w:type="dxa" w:w="2880"/>
          </w:tcPr>
          <w:p>
            <w:r>
              <w:rPr>
                <w:b/>
              </w:rPr>
              <w:t>Fecha</w:t>
            </w:r>
          </w:p>
        </w:tc>
      </w:tr>
      <w:tr>
        <w:tc>
          <w:tcPr>
            <w:tcW w:type="dxa" w:w="2880"/>
          </w:tcPr>
          <w:p>
            <w:r>
              <w:t>Desarrollo</w:t>
            </w:r>
          </w:p>
        </w:tc>
        <w:tc>
          <w:tcPr>
            <w:tcW w:type="dxa" w:w="2880"/>
          </w:tcPr>
          <w:p>
            <w:r/>
          </w:p>
        </w:tc>
        <w:tc>
          <w:tcPr>
            <w:tcW w:type="dxa" w:w="2880"/>
          </w:tcPr>
          <w:p>
            <w:r/>
          </w:p>
        </w:tc>
      </w:tr>
      <w:tr>
        <w:tc>
          <w:tcPr>
            <w:tcW w:type="dxa" w:w="2880"/>
          </w:tcPr>
          <w:p>
            <w:r>
              <w:t>Validación independiente</w:t>
            </w:r>
          </w:p>
        </w:tc>
        <w:tc>
          <w:tcPr>
            <w:tcW w:type="dxa" w:w="2880"/>
          </w:tcPr>
          <w:p>
            <w:r/>
          </w:p>
        </w:tc>
        <w:tc>
          <w:tcPr>
            <w:tcW w:type="dxa" w:w="2880"/>
          </w:tcPr>
          <w:p>
            <w:r/>
          </w:p>
        </w:tc>
      </w:tr>
      <w:tr>
        <w:tc>
          <w:tcPr>
            <w:tcW w:type="dxa" w:w="2880"/>
          </w:tcPr>
          <w:p>
            <w:r>
              <w:t>Aprobación</w:t>
            </w:r>
          </w:p>
        </w:tc>
        <w:tc>
          <w:tcPr>
            <w:tcW w:type="dxa" w:w="2880"/>
          </w:tcPr>
          <w:p>
            <w:r/>
          </w:p>
        </w:tc>
        <w:tc>
          <w:tcPr>
            <w:tcW w:type="dxa" w:w="2880"/>
          </w:tcPr>
          <w:p>
            <w:r/>
          </w:p>
        </w:tc>
      </w:tr>
    </w:tbl>
    <w:p>
      <w:r>
        <w:br w:type="page"/>
      </w:r>
    </w:p>
    <w:p>
      <w:pPr>
        <w:pStyle w:val="Heading1"/>
      </w:pPr>
      <w:r>
        <w:t>Índice</w:t>
      </w:r>
    </w:p>
    <w:p>
      <w:r>
        <w:fldChar w:fldCharType="begin"/>
        <w:instrText xml:space="preserve">TOC \o "1-3" \h \z \u</w:instrText>
        <w:fldChar w:fldCharType="separate"/>
        <w:t>Índice: clic derecho sobre este texto → «Actualizar campos» en Word.</w:t>
        <w:fldChar w:fldCharType="end"/>
      </w:r>
    </w:p>
    <w:p>
      <w:r>
        <w:br w:type="page"/>
      </w:r>
    </w:p>
    <w:p>
      <w:pPr>
        <w:pStyle w:val="Heading1"/>
      </w:pPr>
      <w:r>
        <w:t>Resumen ejecutivo</w:t>
      </w:r>
    </w:p>
    <w:p>
      <w:pPr>
        <w:shd w:val="clear" w:color="auto" w:fill="FFF3CD"/>
      </w:pPr>
      <w:r>
        <w:rPr>
          <w:b w:val="0"/>
        </w:rPr>
        <w:t>POR COMPLETAR — Veredicto de validación: Aprobado · Aprobado con observaciones · Rechazado. Campo estructural: lo marca y firma el validador independiente; no es un resultado calculado por el motor.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Métrica</w:t>
            </w:r>
          </w:p>
        </w:tc>
        <w:tc>
          <w:tcPr>
            <w:tcW w:type="dxa" w:w="2160"/>
          </w:tcPr>
          <w:p>
            <w:r>
              <w:rPr>
                <w:b/>
              </w:rPr>
              <w:t>Alcance</w:t>
            </w:r>
          </w:p>
        </w:tc>
        <w:tc>
          <w:tcPr>
            <w:tcW w:type="dxa" w:w="2160"/>
          </w:tcPr>
          <w:p>
            <w:r>
              <w:rPr>
                <w:b/>
              </w:rPr>
              <w:t>Valor</w:t>
            </w:r>
          </w:p>
        </w:tc>
        <w:tc>
          <w:tcPr>
            <w:tcW w:type="dxa" w:w="2160"/>
          </w:tcPr>
          <w:p>
            <w:r>
              <w:rPr>
                <w:b/>
              </w:rPr>
              <w:t>Estado</w:t>
            </w:r>
          </w:p>
        </w:tc>
      </w:tr>
      <w:tr>
        <w:tc>
          <w:tcPr>
            <w:tcW w:type="dxa" w:w="2160"/>
          </w:tcPr>
          <w:p>
            <w:r>
              <w:t>ECL reportada (IFRS 9)</w:t>
            </w:r>
          </w:p>
        </w:tc>
        <w:tc>
          <w:tcPr>
            <w:tcW w:type="dxa" w:w="2160"/>
          </w:tcPr>
          <w:p>
            <w:r>
              <w:t>Cartera total</w:t>
            </w:r>
          </w:p>
        </w:tc>
        <w:tc>
          <w:tcPr>
            <w:tcW w:type="dxa" w:w="2160"/>
          </w:tcPr>
          <w:p>
            <w:r>
              <w:t>$3.423.116</w:t>
            </w:r>
          </w:p>
        </w:tc>
        <w:tc>
          <w:tcPr>
            <w:tcW w:type="dxa" w:w="2160"/>
          </w:tcPr>
          <w:p>
            <w:r>
              <w:t>Cifra contable</w:t>
            </w:r>
          </w:p>
        </w:tc>
      </w:tr>
      <w:tr>
        <w:tc>
          <w:tcPr>
            <w:tcW w:type="dxa" w:w="2160"/>
          </w:tcPr>
          <w:p>
            <w:r>
              <w:t>Exposición al incumplimiento (EAD)</w:t>
            </w:r>
          </w:p>
        </w:tc>
        <w:tc>
          <w:tcPr>
            <w:tcW w:type="dxa" w:w="2160"/>
          </w:tcPr>
          <w:p>
            <w:r>
              <w:t>Cartera total</w:t>
            </w:r>
          </w:p>
        </w:tc>
        <w:tc>
          <w:tcPr>
            <w:tcW w:type="dxa" w:w="2160"/>
          </w:tcPr>
          <w:p>
            <w:r>
              <w:t>$114.325.315</w:t>
            </w:r>
          </w:p>
        </w:tc>
        <w:tc>
          <w:tcPr>
            <w:tcW w:type="dxa" w:w="2160"/>
          </w:tcPr>
          <w:p>
            <w:r>
              <w:t>Cifra contable</w:t>
            </w:r>
          </w:p>
        </w:tc>
      </w:tr>
      <w:tr>
        <w:tc>
          <w:tcPr>
            <w:tcW w:type="dxa" w:w="2160"/>
          </w:tcPr>
          <w:p>
            <w:r>
              <w:t>Cobertura ECL / EAD</w:t>
            </w:r>
          </w:p>
        </w:tc>
        <w:tc>
          <w:tcPr>
            <w:tcW w:type="dxa" w:w="2160"/>
          </w:tcPr>
          <w:p>
            <w:r>
              <w:t>Cartera total</w:t>
            </w:r>
          </w:p>
        </w:tc>
        <w:tc>
          <w:tcPr>
            <w:tcW w:type="dxa" w:w="2160"/>
          </w:tcPr>
          <w:p>
            <w:r>
              <w:t>2,99 %</w:t>
            </w:r>
          </w:p>
        </w:tc>
        <w:tc>
          <w:tcPr>
            <w:tcW w:type="dxa" w:w="2160"/>
          </w:tcPr>
          <w:p>
            <w:r>
              <w:t>Cifra contable</w:t>
            </w:r>
          </w:p>
        </w:tc>
      </w:tr>
      <w:tr>
        <w:tc>
          <w:tcPr>
            <w:tcW w:type="dxa" w:w="2160"/>
          </w:tcPr>
          <w:p>
            <w:r>
              <w:t>Staging (Stage 1 / 2 / 3)</w:t>
            </w:r>
          </w:p>
        </w:tc>
        <w:tc>
          <w:tcPr>
            <w:tcW w:type="dxa" w:w="2160"/>
          </w:tcPr>
          <w:p>
            <w:r>
              <w:t>Operaciones</w:t>
            </w:r>
          </w:p>
        </w:tc>
        <w:tc>
          <w:tcPr>
            <w:tcW w:type="dxa" w:w="2160"/>
          </w:tcPr>
          <w:p>
            <w:r>
              <w:t>5.235 / 477 / 288</w:t>
            </w:r>
          </w:p>
        </w:tc>
        <w:tc>
          <w:tcPr>
            <w:tcW w:type="dxa" w:w="2160"/>
          </w:tcPr>
          <w:p>
            <w:r>
              <w:t>Cifra contable</w:t>
            </w:r>
          </w:p>
        </w:tc>
      </w:tr>
    </w:tbl>
    <w:p>
      <w:r>
        <w:rPr>
          <w:i/>
        </w:rPr>
        <w:t>Las cifras IFRS 9 son el cálculo contable que reportó el motor (función experimental), no bandas de validación: la columna Estado no les aplica semáforo.</w:t>
      </w:r>
    </w:p>
    <w:p>
      <w:pPr>
        <w:pStyle w:val="Heading1"/>
      </w:pPr>
      <w:r>
        <w:t>1 Introducción</w:t>
      </w:r>
    </w:p>
    <w:p>
      <w:pPr>
        <w:shd w:val="clear" w:color="auto" w:fill="FFF3CD"/>
      </w:pPr>
      <w:r>
        <w:rPr>
          <w:b/>
        </w:rPr>
        <w:t>POR COMPLETAR — Introducción</w:t>
      </w:r>
    </w:p>
    <w:p>
      <w:pPr>
        <w:shd w:val="clear" w:color="auto" w:fill="FFF3CD"/>
      </w:pPr>
      <w:r>
        <w:rPr>
          <w:b w:val="0"/>
        </w:rPr>
        <w:t>Declara el propósito del informe y qué decisión habilita: ¿es una validación inicial previa a la puesta en producción, una revisión periódica o un recalibrado?</w:t>
      </w:r>
    </w:p>
    <w:p>
      <w:pPr>
        <w:shd w:val="clear" w:color="auto" w:fill="FFF3CD"/>
      </w:pPr>
      <w:r>
        <w:rPr>
          <w:b w:val="0"/>
        </w:rPr>
        <w:t>Delimita el alcance (qué modelo y qué cartera cubre, qué queda fuera) e identifica la audiencia: Validación independiente, Comité de Riesgo, regulador.</w:t>
      </w:r>
    </w:p>
    <w:p>
      <w:pPr>
        <w:pStyle w:val="Heading1"/>
      </w:pPr>
      <w:r>
        <w:t>2 Contexto del modelo y de la cartera</w:t>
      </w:r>
    </w:p>
    <w:p>
      <w:r>
        <w:t>La población procesada contiene 6.000 observaciones, 17 variables de entrada y una tasa de incumplimiento de 9,63 %. Los conteos por estado, partición y motivo de exclusión se reproducen literalmente en las tablas de esta sección.</w:t>
      </w:r>
    </w:p>
    <w:p>
      <w:r>
        <w:t>La columna objetivo de esta corrida es «target».</w:t>
      </w:r>
    </w:p>
    <w:p>
      <w:r>
        <w:t>La cartera se dividió en muestras al preparar los datos, pero ninguna etapa de esta corrida se apoyó en esa división: la tabla de particiones de este capítulo describe la cartera, no una muestra de trabajo.</w:t>
      </w:r>
    </w:p>
    <w:p>
      <w:pPr>
        <w:shd w:val="clear" w:color="auto" w:fill="FFF3CD"/>
      </w:pPr>
      <w:r>
        <w:rPr>
          <w:b/>
        </w:rPr>
        <w:t>POR COMPLETAR — Contexto del modelo</w:t>
      </w:r>
    </w:p>
    <w:p>
      <w:pPr>
        <w:shd w:val="clear" w:color="auto" w:fill="FFF3CD"/>
      </w:pPr>
      <w:r>
        <w:rPr>
          <w:b w:val="0"/>
        </w:rPr>
        <w:t>Describe la cartera sobre la que se construyó el modelo: producto, segmento, volumen y período.</w:t>
      </w:r>
    </w:p>
    <w:p>
      <w:pPr>
        <w:shd w:val="clear" w:color="auto" w:fill="FFF3CD"/>
      </w:pPr>
      <w:r>
        <w:rPr>
          <w:b w:val="0"/>
        </w:rPr>
        <w:t>Explicita la definición de incumplimiento utilizada (p. ej. 90+ días de mora) y por qué; declara las exclusiones aplicadas a la población y su justificación.</w:t>
      </w:r>
    </w:p>
    <w:p>
      <w:pPr>
        <w:pStyle w:val="Heading2"/>
      </w:pPr>
      <w:r>
        <w:t>2.1 Población, particiones y exclusiones</w:t>
      </w:r>
    </w:p>
    <w:p>
      <w:r>
        <w:t>Las tablas siguientes reproducen lo que dejó la preparación de datos de esta corrida. Estados, tamaños y tasas por partición, y exclusiones se copian literalmente; el informe no recalcula ni completa valores ausentes.</w:t>
      </w:r>
    </w:p>
    <w:p>
      <w:r>
        <w:rPr>
          <w:b/>
          <w:sz w:val="18"/>
        </w:rPr>
        <w:t>Estados de la población</w:t>
      </w:r>
    </w:p>
    <w:tbl>
      <w:tblPr>
        <w:tblStyle w:val="TableGrid"/>
        <w:tblW w:type="auto" w:w="0"/>
        <w:tblLook w:firstColumn="1" w:firstRow="1" w:lastColumn="0" w:lastRow="0" w:noHBand="0" w:noVBand="1" w:val="04A0"/>
      </w:tblPr>
      <w:tblGrid>
        <w:gridCol w:w="4320"/>
        <w:gridCol w:w="4320"/>
      </w:tblGrid>
      <w:tr>
        <w:tc>
          <w:tcPr>
            <w:tcW w:type="dxa" w:w="4320"/>
          </w:tcPr>
          <w:p>
            <w:r>
              <w:rPr>
                <w:b/>
              </w:rPr>
              <w:t>Estado</w:t>
            </w:r>
          </w:p>
        </w:tc>
        <w:tc>
          <w:tcPr>
            <w:tcW w:type="dxa" w:w="4320"/>
          </w:tcPr>
          <w:p>
            <w:r>
              <w:rPr>
                <w:b/>
              </w:rPr>
              <w:t>Observaciones</w:t>
            </w:r>
          </w:p>
        </w:tc>
      </w:tr>
      <w:tr>
        <w:tc>
          <w:tcPr>
            <w:tcW w:type="dxa" w:w="4320"/>
          </w:tcPr>
          <w:p>
            <w:r>
              <w:t>bueno</w:t>
            </w:r>
          </w:p>
        </w:tc>
        <w:tc>
          <w:tcPr>
            <w:tcW w:type="dxa" w:w="4320"/>
          </w:tcPr>
          <w:p>
            <w:r>
              <w:t>5422</w:t>
            </w:r>
          </w:p>
        </w:tc>
      </w:tr>
      <w:tr>
        <w:tc>
          <w:tcPr>
            <w:tcW w:type="dxa" w:w="4320"/>
          </w:tcPr>
          <w:p>
            <w:r>
              <w:t>malo</w:t>
            </w:r>
          </w:p>
        </w:tc>
        <w:tc>
          <w:tcPr>
            <w:tcW w:type="dxa" w:w="4320"/>
          </w:tcPr>
          <w:p>
            <w:r>
              <w:t>578</w:t>
            </w:r>
          </w:p>
        </w:tc>
      </w:tr>
      <w:tr>
        <w:tc>
          <w:tcPr>
            <w:tcW w:type="dxa" w:w="4320"/>
          </w:tcPr>
          <w:p>
            <w:r>
              <w:t>indeterminado</w:t>
            </w:r>
          </w:p>
        </w:tc>
        <w:tc>
          <w:tcPr>
            <w:tcW w:type="dxa" w:w="4320"/>
          </w:tcPr>
          <w:p>
            <w:r>
              <w:t>0</w:t>
            </w:r>
          </w:p>
        </w:tc>
      </w:tr>
      <w:tr>
        <w:tc>
          <w:tcPr>
            <w:tcW w:type="dxa" w:w="4320"/>
          </w:tcPr>
          <w:p>
            <w:r>
              <w:t>excluido</w:t>
            </w:r>
          </w:p>
        </w:tc>
        <w:tc>
          <w:tcPr>
            <w:tcW w:type="dxa" w:w="4320"/>
          </w:tcPr>
          <w:p>
            <w:r>
              <w:t>0</w:t>
            </w:r>
          </w:p>
        </w:tc>
      </w:tr>
    </w:tbl>
    <w:p>
      <w:r>
        <w:rPr>
          <w:b/>
          <w:sz w:val="18"/>
        </w:rPr>
        <w:t>Particiones de modelamiento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Partición</w:t>
            </w:r>
          </w:p>
        </w:tc>
        <w:tc>
          <w:tcPr>
            <w:tcW w:type="dxa" w:w="2880"/>
          </w:tcPr>
          <w:p>
            <w:r>
              <w:rPr>
                <w:b/>
              </w:rPr>
              <w:t>Observaciones</w:t>
            </w:r>
          </w:p>
        </w:tc>
        <w:tc>
          <w:tcPr>
            <w:tcW w:type="dxa" w:w="2880"/>
          </w:tcPr>
          <w:p>
            <w:r>
              <w:rPr>
                <w:b/>
              </w:rPr>
              <w:t>Tasa de incumplimiento</w:t>
            </w:r>
          </w:p>
        </w:tc>
      </w:tr>
      <w:tr>
        <w:tc>
          <w:tcPr>
            <w:tcW w:type="dxa" w:w="2880"/>
          </w:tcPr>
          <w:p>
            <w:r>
              <w:t>desarrollo</w:t>
            </w:r>
          </w:p>
        </w:tc>
        <w:tc>
          <w:tcPr>
            <w:tcW w:type="dxa" w:w="2880"/>
          </w:tcPr>
          <w:p>
            <w:r>
              <w:t>4024</w:t>
            </w:r>
          </w:p>
        </w:tc>
        <w:tc>
          <w:tcPr>
            <w:tcW w:type="dxa" w:w="2880"/>
          </w:tcPr>
          <w:p>
            <w:r>
              <w:t>0.0964</w:t>
            </w:r>
          </w:p>
        </w:tc>
      </w:tr>
      <w:tr>
        <w:tc>
          <w:tcPr>
            <w:tcW w:type="dxa" w:w="2880"/>
          </w:tcPr>
          <w:p>
            <w:r>
              <w:t>holdout</w:t>
            </w:r>
          </w:p>
        </w:tc>
        <w:tc>
          <w:tcPr>
            <w:tcW w:type="dxa" w:w="2880"/>
          </w:tcPr>
          <w:p>
            <w:r>
              <w:t>1030</w:t>
            </w:r>
          </w:p>
        </w:tc>
        <w:tc>
          <w:tcPr>
            <w:tcW w:type="dxa" w:w="2880"/>
          </w:tcPr>
          <w:p>
            <w:r>
              <w:t>0.1000</w:t>
            </w:r>
          </w:p>
        </w:tc>
      </w:tr>
      <w:tr>
        <w:tc>
          <w:tcPr>
            <w:tcW w:type="dxa" w:w="2880"/>
          </w:tcPr>
          <w:p>
            <w:r>
              <w:t>oot</w:t>
            </w:r>
          </w:p>
        </w:tc>
        <w:tc>
          <w:tcPr>
            <w:tcW w:type="dxa" w:w="2880"/>
          </w:tcPr>
          <w:p>
            <w:r>
              <w:t>946</w:t>
            </w:r>
          </w:p>
        </w:tc>
        <w:tc>
          <w:tcPr>
            <w:tcW w:type="dxa" w:w="2880"/>
          </w:tcPr>
          <w:p>
            <w:r>
              <w:t>0.0920</w:t>
            </w:r>
          </w:p>
        </w:tc>
      </w:tr>
      <w:tr>
        <w:tc>
          <w:tcPr>
            <w:tcW w:type="dxa" w:w="2880"/>
          </w:tcPr>
          <w:p>
            <w:r>
              <w:t>fuera_de_modelo</w:t>
            </w:r>
          </w:p>
        </w:tc>
        <w:tc>
          <w:tcPr>
            <w:tcW w:type="dxa" w:w="2880"/>
          </w:tcPr>
          <w:p>
            <w:r>
              <w:t>0</w:t>
            </w:r>
          </w:p>
        </w:tc>
        <w:tc>
          <w:tcPr>
            <w:tcW w:type="dxa" w:w="2880"/>
          </w:tcPr>
          <w:p>
            <w:r>
              <w:t>0.0000</w:t>
            </w:r>
          </w:p>
        </w:tc>
      </w:tr>
    </w:tbl>
    <w:p>
      <w:r>
        <w:rPr>
          <w:b/>
          <w:sz w:val="18"/>
        </w:rPr>
        <w:t>Exclusiones aplicadas</w:t>
      </w:r>
    </w:p>
    <w:tbl>
      <w:tblPr>
        <w:tblStyle w:val="TableGrid"/>
        <w:tblW w:type="auto" w:w="0"/>
        <w:tblLook w:firstColumn="1" w:firstRow="1" w:lastColumn="0" w:lastRow="0" w:noHBand="0" w:noVBand="1" w:val="04A0"/>
      </w:tblPr>
      <w:tblGrid>
        <w:gridCol w:w="4320"/>
        <w:gridCol w:w="4320"/>
      </w:tblGrid>
      <w:tr>
        <w:tc>
          <w:tcPr>
            <w:tcW w:type="dxa" w:w="4320"/>
          </w:tcPr>
          <w:p>
            <w:r>
              <w:rPr>
                <w:b/>
              </w:rPr>
              <w:t>Motivo</w:t>
            </w:r>
          </w:p>
        </w:tc>
        <w:tc>
          <w:tcPr>
            <w:tcW w:type="dxa" w:w="4320"/>
          </w:tcPr>
          <w:p>
            <w:r>
              <w:rPr>
                <w:b/>
              </w:rPr>
              <w:t>Exclusiones</w:t>
            </w:r>
          </w:p>
        </w:tc>
      </w:tr>
    </w:tbl>
    <w:p>
      <w:pPr>
        <w:pStyle w:val="Heading1"/>
      </w:pPr>
      <w:r>
        <w:t>3 Metodología</w:t>
      </w:r>
    </w:p>
    <w:p>
      <w:r>
        <w:t>Esta corrida no ejecutó etapas de construcción de scorecard (segmentación, selección, modelo, calibración): este capítulo describe únicamente las etapas que sí corrieron, con los parámetros efectivos que constan en el config trazado en el Anexo A. La metodología de los cálculos de dominio se describe en su capítulo correspondiente.</w:t>
      </w:r>
    </w:p>
    <w:p>
      <w:pPr>
        <w:pStyle w:val="Heading2"/>
      </w:pPr>
      <w:r>
        <w:t>3.1 Tratamiento de datos y particiones</w:t>
      </w:r>
    </w:p>
    <w:p>
      <w:r>
        <w:t>El dataset se validó contra un esquema declarado de 8 columnas, con tipos y nulabilidad explícitos; una desviación del esquema detiene la corrida en vez de propagarse.</w:t>
      </w:r>
    </w:p>
    <w:p>
      <w:r>
        <w:t>En el tratamiento de faltantes se reporta para revisión toda variable con más de 99,00 % de valores faltantes, sin eliminarla automáticamente.</w:t>
      </w:r>
    </w:p>
    <w:p>
      <w:pPr>
        <w:pStyle w:val="Heading2"/>
      </w:pPr>
      <w:r>
        <w:t>3.2 Ficha metodológica IFRS 9 / ECL</w:t>
      </w:r>
    </w:p>
    <w:p>
      <w:r>
        <w:t>Esta ficha metodológica se deriva de la configuración efectiva y de lo que dejó publicado cada etapa de la corrida; no replica parámetros ni supone que una capacidad configurada se ejecutó.</w:t>
      </w:r>
    </w:p>
    <w:p>
      <w:r>
        <w:t>Activo en esta corrida:</w:t>
      </w:r>
    </w:p>
    <w:p>
      <w:r>
        <w:t>Curva PD lifetime: Discrete-time hazard. 6.000 filas · 1.502 eventos · horizonte 5 años</w:t>
      </w:r>
    </w:p>
    <w:p>
      <w:r>
        <w:t>Base de PD: TTC (through-the-cycle). La term-structure activa proviene de survival.</w:t>
      </w:r>
    </w:p>
    <w:p>
      <w:r>
        <w:t>LGD y EAD: LGD provided · EAD provided. La EAD se mantiene constante por período: no se modela la amortización del crédito.</w:t>
      </w:r>
    </w:p>
    <w:p>
      <w:r>
        <w:t>Staging: 30/90 días + is_default. Stage 2 desde 30 días; Stage 3 desde 90 días o is_default.</w:t>
      </w:r>
    </w:p>
    <w:p>
      <w:r>
        <w:t>Escenario de cálculo: Base 100 %. Escenario único; no hay ponderación macroeconómica múltiple.</w:t>
      </w:r>
    </w:p>
    <w:p>
      <w:r>
        <w:t>Descuento: EIR anual. Descuento período a período con la columna eir. Los plazos de la curva se convierten a años según la unidad temporal que ella declara; si no la declara, se asumen años y queda constancia en el resultado.</w:t>
      </w:r>
    </w:p>
    <w:p>
      <w:r>
        <w:t>Capacidad no ejercida en esta corrida:</w:t>
      </w:r>
    </w:p>
    <w:p>
      <w:r>
        <w:t>Forward-looking: Capacidad no ejercida. La sección forward está inactiva y no condiciona la PD de esta corrida.</w:t>
      </w:r>
    </w:p>
    <w:p>
      <w:r>
        <w:t>Escenarios macroeconómicos múltiples: Capacidad no ejercida. La corrida usa un único escenario base, sin ponderación macro múltiple.</w:t>
      </w:r>
    </w:p>
    <w:p>
      <w:r>
        <w:t>Matrices de transición Markov: Capacidad no ejercida. La term-structure activa proviene de survival, no de Markov.</w:t>
      </w:r>
    </w:p>
    <w:p>
      <w:r>
        <w:t>Trazabilidad — artefactos de origen: config.survival, survival.card, config.provisioning_ifrs9, provisioning_ifrs9.card.</w:t>
      </w:r>
    </w:p>
    <w:p>
      <w:pPr>
        <w:pStyle w:val="Heading1"/>
      </w:pPr>
      <w:r>
        <w:t>4 Provisiones IFRS 9 / ECL</w:t>
      </w:r>
    </w:p>
    <w:p>
      <w:r>
        <w:t>IFRS 9 (NIIF 9) exige reconocer provisiones por pérdida crediticia esperada (ECL) según el deterioro relativo de cada exposición: las operaciones sin aumento significativo del riesgo (Stage 1) provisionan la pérdida esperada a 12 meses, y las que lo presentan o ya están deterioradas (Stage 2 y 3) provisionan la pérdida esperada de por vida (IFRS 9 5.5.3 y 5.5.5). Este capítulo reporta el cálculo sobre la cartera de la corrida.</w:t>
      </w:r>
    </w:p>
    <w:p>
      <w:r>
        <w:t>Sobre una exposición al incumplimiento (EAD) de $114.325.315, la pérdida crediticia esperada a constituir es $3.423.116, una cobertura del 2,99 %. Fecha de corte: 2025-06-30.</w:t>
      </w:r>
    </w:p>
    <w:p>
      <w:r>
        <w:t>De las 6.000 operaciones de la cartera, 5.235 clasifican en Stage 1, 477 en Stage 2 y 288 en Stage 3.</w:t>
      </w:r>
    </w:p>
    <w:p>
      <w:r>
        <w:t>El cálculo IFRS 9 es una función experimental: los números son trazables y deterministas, pero su interfaz puede cambiar en próximas versiones de la librería.</w:t>
      </w:r>
    </w:p>
    <w:p>
      <w:pPr>
        <w:pStyle w:val="Heading2"/>
      </w:pPr>
      <w:r>
        <w:t>4.1 Pérdida crediticia esperada (ECL) por etapas</w:t>
      </w:r>
    </w:p>
    <w:p>
      <w:r>
        <w:t>La probabilidad de incumplimiento por periodo proviene de la curva lifetime PD del modelo de supervivencia (discrete-time hazard), en modalidad through-the-cycle (TTC). La ECL de cada operación multiplica PD marginal, LGD y EAD periodo a periodo y descuenta cada pérdida al presente; Stage 1 corta el horizonte a 12 meses y Stage 2/3 lo extienden a la vida remanente.</w:t>
      </w:r>
    </w:p>
    <w:p>
      <w:r>
        <w:t>La curva lifetime no extrapola la PD de horizonte fijo del modelo: se estima un modelo de riesgo en tiempo discreto (discrete-time hazard) sobre la historia de duración censurada de la propia cartera (6.000 operaciones, 1.502 eventos de incumplimiento observados y 4.498 censuradas). La probabilidad condicional de incumplimiento se estima período a período, y de ella se derivan la supervivencia y la PD marginal de cada período: la dimensión temporal la aportan los datos de duración, no un supuesto de hazard constante.</w:t>
      </w:r>
    </w:p>
    <w:p>
      <w:r>
        <w:t>El ajuste no toma insumos de un scorecard de originación: el orden de riesgo entre operaciones lo aportan covariables propias de la cartera, y el nivel y la forma temporal de la curva los fija la historia de duración observada. La pérdida esperada queda así autocontenida en el área IFRS 9.</w:t>
      </w:r>
    </w:p>
    <w:p>
      <w:r>
        <w:t>La corrida usa un escenario único (sin ponderación macroeconómica múltiple); la norma admite incorporar escenarios adicionales cuando la entidad disponga de ellos.</w:t>
      </w:r>
    </w:p>
    <w:p>
      <w:r>
        <w:t>La tabla resume la cartera por etapa: número de operaciones, EAD, ECL reportada y cobertura. La distribución por etapas reconcilia exactamente con el total del capítulo.</w:t>
      </w:r>
    </w:p>
    <w:p>
      <w:r>
        <w:t>El motor reportó advertencias de datos que el lector debe conocer: la exposición (EAD) se proyectó constante a lo largo de la vida de cada operación, porque el dataset no trae un perfil de exposición por período.</w:t>
      </w:r>
    </w:p>
    <w:p>
      <w:r>
        <w:rPr>
          <w:b/>
          <w:sz w:val="18"/>
        </w:rPr>
        <w:t>Pérdida crediticia esperada (ECL) por etapa</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portfolio</w:t>
            </w:r>
          </w:p>
        </w:tc>
        <w:tc>
          <w:tcPr>
            <w:tcW w:type="dxa" w:w="1234"/>
          </w:tcPr>
          <w:p>
            <w:r>
              <w:rPr>
                <w:b/>
              </w:rPr>
              <w:t>stage</w:t>
            </w:r>
          </w:p>
        </w:tc>
        <w:tc>
          <w:tcPr>
            <w:tcW w:type="dxa" w:w="1234"/>
          </w:tcPr>
          <w:p>
            <w:r>
              <w:rPr>
                <w:b/>
              </w:rPr>
              <w:t>scenario</w:t>
            </w:r>
          </w:p>
        </w:tc>
        <w:tc>
          <w:tcPr>
            <w:tcW w:type="dxa" w:w="1234"/>
          </w:tcPr>
          <w:p>
            <w:r>
              <w:rPr>
                <w:b/>
              </w:rPr>
              <w:t>n_rows</w:t>
            </w:r>
          </w:p>
        </w:tc>
        <w:tc>
          <w:tcPr>
            <w:tcW w:type="dxa" w:w="1234"/>
          </w:tcPr>
          <w:p>
            <w:r>
              <w:rPr>
                <w:b/>
              </w:rPr>
              <w:t>total_ead</w:t>
            </w:r>
          </w:p>
        </w:tc>
        <w:tc>
          <w:tcPr>
            <w:tcW w:type="dxa" w:w="1234"/>
          </w:tcPr>
          <w:p>
            <w:r>
              <w:rPr>
                <w:b/>
              </w:rPr>
              <w:t>total_ecl_reported</w:t>
            </w:r>
          </w:p>
        </w:tc>
        <w:tc>
          <w:tcPr>
            <w:tcW w:type="dxa" w:w="1234"/>
          </w:tcPr>
          <w:p>
            <w:r>
              <w:rPr>
                <w:b/>
              </w:rPr>
              <w:t>coverage_ratio</w:t>
            </w:r>
          </w:p>
        </w:tc>
      </w:tr>
      <w:tr>
        <w:tc>
          <w:tcPr>
            <w:tcW w:type="dxa" w:w="1234"/>
          </w:tcPr>
          <w:p>
            <w:r>
              <w:t>Comercial</w:t>
            </w:r>
          </w:p>
        </w:tc>
        <w:tc>
          <w:tcPr>
            <w:tcW w:type="dxa" w:w="1234"/>
          </w:tcPr>
          <w:p>
            <w:r>
              <w:t>1</w:t>
            </w:r>
          </w:p>
        </w:tc>
        <w:tc>
          <w:tcPr>
            <w:tcW w:type="dxa" w:w="1234"/>
          </w:tcPr>
          <w:p>
            <w:r>
              <w:t>all</w:t>
            </w:r>
          </w:p>
        </w:tc>
        <w:tc>
          <w:tcPr>
            <w:tcW w:type="dxa" w:w="1234"/>
          </w:tcPr>
          <w:p>
            <w:r>
              <w:t>775</w:t>
            </w:r>
          </w:p>
        </w:tc>
        <w:tc>
          <w:tcPr>
            <w:tcW w:type="dxa" w:w="1234"/>
          </w:tcPr>
          <w:p>
            <w:r>
              <w:t>31178795.53</w:t>
            </w:r>
          </w:p>
        </w:tc>
        <w:tc>
          <w:tcPr>
            <w:tcW w:type="dxa" w:w="1234"/>
          </w:tcPr>
          <w:p>
            <w:r>
              <w:t>581332.24</w:t>
            </w:r>
          </w:p>
        </w:tc>
        <w:tc>
          <w:tcPr>
            <w:tcW w:type="dxa" w:w="1234"/>
          </w:tcPr>
          <w:p>
            <w:r>
              <w:t>0.018645</w:t>
            </w:r>
          </w:p>
        </w:tc>
      </w:tr>
      <w:tr>
        <w:tc>
          <w:tcPr>
            <w:tcW w:type="dxa" w:w="1234"/>
          </w:tcPr>
          <w:p>
            <w:r>
              <w:t>Comercial</w:t>
            </w:r>
          </w:p>
        </w:tc>
        <w:tc>
          <w:tcPr>
            <w:tcW w:type="dxa" w:w="1234"/>
          </w:tcPr>
          <w:p>
            <w:r>
              <w:t>2</w:t>
            </w:r>
          </w:p>
        </w:tc>
        <w:tc>
          <w:tcPr>
            <w:tcW w:type="dxa" w:w="1234"/>
          </w:tcPr>
          <w:p>
            <w:r>
              <w:t>all</w:t>
            </w:r>
          </w:p>
        </w:tc>
        <w:tc>
          <w:tcPr>
            <w:tcW w:type="dxa" w:w="1234"/>
          </w:tcPr>
          <w:p>
            <w:r>
              <w:t>75</w:t>
            </w:r>
          </w:p>
        </w:tc>
        <w:tc>
          <w:tcPr>
            <w:tcW w:type="dxa" w:w="1234"/>
          </w:tcPr>
          <w:p>
            <w:r>
              <w:t>3137275.52</w:t>
            </w:r>
          </w:p>
        </w:tc>
        <w:tc>
          <w:tcPr>
            <w:tcW w:type="dxa" w:w="1234"/>
          </w:tcPr>
          <w:p>
            <w:r>
              <w:t>390914.01</w:t>
            </w:r>
          </w:p>
        </w:tc>
        <w:tc>
          <w:tcPr>
            <w:tcW w:type="dxa" w:w="1234"/>
          </w:tcPr>
          <w:p>
            <w:r>
              <w:t>0.124603</w:t>
            </w:r>
          </w:p>
        </w:tc>
      </w:tr>
      <w:tr>
        <w:tc>
          <w:tcPr>
            <w:tcW w:type="dxa" w:w="1234"/>
          </w:tcPr>
          <w:p>
            <w:r>
              <w:t>Comercial</w:t>
            </w:r>
          </w:p>
        </w:tc>
        <w:tc>
          <w:tcPr>
            <w:tcW w:type="dxa" w:w="1234"/>
          </w:tcPr>
          <w:p>
            <w:r>
              <w:t>3</w:t>
            </w:r>
          </w:p>
        </w:tc>
        <w:tc>
          <w:tcPr>
            <w:tcW w:type="dxa" w:w="1234"/>
          </w:tcPr>
          <w:p>
            <w:r>
              <w:t>all</w:t>
            </w:r>
          </w:p>
        </w:tc>
        <w:tc>
          <w:tcPr>
            <w:tcW w:type="dxa" w:w="1234"/>
          </w:tcPr>
          <w:p>
            <w:r>
              <w:t>51</w:t>
            </w:r>
          </w:p>
        </w:tc>
        <w:tc>
          <w:tcPr>
            <w:tcW w:type="dxa" w:w="1234"/>
          </w:tcPr>
          <w:p>
            <w:r>
              <w:t>2145243.75</w:t>
            </w:r>
          </w:p>
        </w:tc>
        <w:tc>
          <w:tcPr>
            <w:tcW w:type="dxa" w:w="1234"/>
          </w:tcPr>
          <w:p>
            <w:r>
              <w:t>375806.68</w:t>
            </w:r>
          </w:p>
        </w:tc>
        <w:tc>
          <w:tcPr>
            <w:tcW w:type="dxa" w:w="1234"/>
          </w:tcPr>
          <w:p>
            <w:r>
              <w:t>0.175181</w:t>
            </w:r>
          </w:p>
        </w:tc>
      </w:tr>
      <w:tr>
        <w:tc>
          <w:tcPr>
            <w:tcW w:type="dxa" w:w="1234"/>
          </w:tcPr>
          <w:p>
            <w:r>
              <w:t>Consumo</w:t>
            </w:r>
          </w:p>
        </w:tc>
        <w:tc>
          <w:tcPr>
            <w:tcW w:type="dxa" w:w="1234"/>
          </w:tcPr>
          <w:p>
            <w:r>
              <w:t>1</w:t>
            </w:r>
          </w:p>
        </w:tc>
        <w:tc>
          <w:tcPr>
            <w:tcW w:type="dxa" w:w="1234"/>
          </w:tcPr>
          <w:p>
            <w:r>
              <w:t>all</w:t>
            </w:r>
          </w:p>
        </w:tc>
        <w:tc>
          <w:tcPr>
            <w:tcW w:type="dxa" w:w="1234"/>
          </w:tcPr>
          <w:p>
            <w:r>
              <w:t>2125</w:t>
            </w:r>
          </w:p>
        </w:tc>
        <w:tc>
          <w:tcPr>
            <w:tcW w:type="dxa" w:w="1234"/>
          </w:tcPr>
          <w:p>
            <w:r>
              <w:t>18099269.13</w:t>
            </w:r>
          </w:p>
        </w:tc>
        <w:tc>
          <w:tcPr>
            <w:tcW w:type="dxa" w:w="1234"/>
          </w:tcPr>
          <w:p>
            <w:r>
              <w:t>393131.23</w:t>
            </w:r>
          </w:p>
        </w:tc>
        <w:tc>
          <w:tcPr>
            <w:tcW w:type="dxa" w:w="1234"/>
          </w:tcPr>
          <w:p>
            <w:r>
              <w:t>0.021721</w:t>
            </w:r>
          </w:p>
        </w:tc>
      </w:tr>
      <w:tr>
        <w:tc>
          <w:tcPr>
            <w:tcW w:type="dxa" w:w="1234"/>
          </w:tcPr>
          <w:p>
            <w:r>
              <w:t>Consumo</w:t>
            </w:r>
          </w:p>
        </w:tc>
        <w:tc>
          <w:tcPr>
            <w:tcW w:type="dxa" w:w="1234"/>
          </w:tcPr>
          <w:p>
            <w:r>
              <w:t>2</w:t>
            </w:r>
          </w:p>
        </w:tc>
        <w:tc>
          <w:tcPr>
            <w:tcW w:type="dxa" w:w="1234"/>
          </w:tcPr>
          <w:p>
            <w:r>
              <w:t>all</w:t>
            </w:r>
          </w:p>
        </w:tc>
        <w:tc>
          <w:tcPr>
            <w:tcW w:type="dxa" w:w="1234"/>
          </w:tcPr>
          <w:p>
            <w:r>
              <w:t>177</w:t>
            </w:r>
          </w:p>
        </w:tc>
        <w:tc>
          <w:tcPr>
            <w:tcW w:type="dxa" w:w="1234"/>
          </w:tcPr>
          <w:p>
            <w:r>
              <w:t>1561397.65</w:t>
            </w:r>
          </w:p>
        </w:tc>
        <w:tc>
          <w:tcPr>
            <w:tcW w:type="dxa" w:w="1234"/>
          </w:tcPr>
          <w:p>
            <w:r>
              <w:t>201559.53</w:t>
            </w:r>
          </w:p>
        </w:tc>
        <w:tc>
          <w:tcPr>
            <w:tcW w:type="dxa" w:w="1234"/>
          </w:tcPr>
          <w:p>
            <w:r>
              <w:t>0.129089</w:t>
            </w:r>
          </w:p>
        </w:tc>
      </w:tr>
      <w:tr>
        <w:tc>
          <w:tcPr>
            <w:tcW w:type="dxa" w:w="1234"/>
          </w:tcPr>
          <w:p>
            <w:r>
              <w:t>Consumo</w:t>
            </w:r>
          </w:p>
        </w:tc>
        <w:tc>
          <w:tcPr>
            <w:tcW w:type="dxa" w:w="1234"/>
          </w:tcPr>
          <w:p>
            <w:r>
              <w:t>3</w:t>
            </w:r>
          </w:p>
        </w:tc>
        <w:tc>
          <w:tcPr>
            <w:tcW w:type="dxa" w:w="1234"/>
          </w:tcPr>
          <w:p>
            <w:r>
              <w:t>all</w:t>
            </w:r>
          </w:p>
        </w:tc>
        <w:tc>
          <w:tcPr>
            <w:tcW w:type="dxa" w:w="1234"/>
          </w:tcPr>
          <w:p>
            <w:r>
              <w:t>114</w:t>
            </w:r>
          </w:p>
        </w:tc>
        <w:tc>
          <w:tcPr>
            <w:tcW w:type="dxa" w:w="1234"/>
          </w:tcPr>
          <w:p>
            <w:r>
              <w:t>990794.93</w:t>
            </w:r>
          </w:p>
        </w:tc>
        <w:tc>
          <w:tcPr>
            <w:tcW w:type="dxa" w:w="1234"/>
          </w:tcPr>
          <w:p>
            <w:r>
              <w:t>178471.85</w:t>
            </w:r>
          </w:p>
        </w:tc>
        <w:tc>
          <w:tcPr>
            <w:tcW w:type="dxa" w:w="1234"/>
          </w:tcPr>
          <w:p>
            <w:r>
              <w:t>0.180130</w:t>
            </w:r>
          </w:p>
        </w:tc>
      </w:tr>
      <w:tr>
        <w:tc>
          <w:tcPr>
            <w:tcW w:type="dxa" w:w="1234"/>
          </w:tcPr>
          <w:p>
            <w:r>
              <w:t>Hipotecario</w:t>
            </w:r>
          </w:p>
        </w:tc>
        <w:tc>
          <w:tcPr>
            <w:tcW w:type="dxa" w:w="1234"/>
          </w:tcPr>
          <w:p>
            <w:r>
              <w:t>1</w:t>
            </w:r>
          </w:p>
        </w:tc>
        <w:tc>
          <w:tcPr>
            <w:tcW w:type="dxa" w:w="1234"/>
          </w:tcPr>
          <w:p>
            <w:r>
              <w:t>all</w:t>
            </w:r>
          </w:p>
        </w:tc>
        <w:tc>
          <w:tcPr>
            <w:tcW w:type="dxa" w:w="1234"/>
          </w:tcPr>
          <w:p>
            <w:r>
              <w:t>809</w:t>
            </w:r>
          </w:p>
        </w:tc>
        <w:tc>
          <w:tcPr>
            <w:tcW w:type="dxa" w:w="1234"/>
          </w:tcPr>
          <w:p>
            <w:r>
              <w:t>43611647.09</w:t>
            </w:r>
          </w:p>
        </w:tc>
        <w:tc>
          <w:tcPr>
            <w:tcW w:type="dxa" w:w="1234"/>
          </w:tcPr>
          <w:p>
            <w:r>
              <w:t>437771.24</w:t>
            </w:r>
          </w:p>
        </w:tc>
        <w:tc>
          <w:tcPr>
            <w:tcW w:type="dxa" w:w="1234"/>
          </w:tcPr>
          <w:p>
            <w:r>
              <w:t>0.010038</w:t>
            </w:r>
          </w:p>
        </w:tc>
      </w:tr>
      <w:tr>
        <w:tc>
          <w:tcPr>
            <w:tcW w:type="dxa" w:w="1234"/>
          </w:tcPr>
          <w:p>
            <w:r>
              <w:t>Hipotecario</w:t>
            </w:r>
          </w:p>
        </w:tc>
        <w:tc>
          <w:tcPr>
            <w:tcW w:type="dxa" w:w="1234"/>
          </w:tcPr>
          <w:p>
            <w:r>
              <w:t>2</w:t>
            </w:r>
          </w:p>
        </w:tc>
        <w:tc>
          <w:tcPr>
            <w:tcW w:type="dxa" w:w="1234"/>
          </w:tcPr>
          <w:p>
            <w:r>
              <w:t>all</w:t>
            </w:r>
          </w:p>
        </w:tc>
        <w:tc>
          <w:tcPr>
            <w:tcW w:type="dxa" w:w="1234"/>
          </w:tcPr>
          <w:p>
            <w:r>
              <w:t>69</w:t>
            </w:r>
          </w:p>
        </w:tc>
        <w:tc>
          <w:tcPr>
            <w:tcW w:type="dxa" w:w="1234"/>
          </w:tcPr>
          <w:p>
            <w:r>
              <w:t>3693801.39</w:t>
            </w:r>
          </w:p>
        </w:tc>
        <w:tc>
          <w:tcPr>
            <w:tcW w:type="dxa" w:w="1234"/>
          </w:tcPr>
          <w:p>
            <w:r>
              <w:t>303704.23</w:t>
            </w:r>
          </w:p>
        </w:tc>
        <w:tc>
          <w:tcPr>
            <w:tcW w:type="dxa" w:w="1234"/>
          </w:tcPr>
          <w:p>
            <w:r>
              <w:t>0.082220</w:t>
            </w:r>
          </w:p>
        </w:tc>
      </w:tr>
      <w:tr>
        <w:tc>
          <w:tcPr>
            <w:tcW w:type="dxa" w:w="1234"/>
          </w:tcPr>
          <w:p>
            <w:r>
              <w:t>Hipotecario</w:t>
            </w:r>
          </w:p>
        </w:tc>
        <w:tc>
          <w:tcPr>
            <w:tcW w:type="dxa" w:w="1234"/>
          </w:tcPr>
          <w:p>
            <w:r>
              <w:t>3</w:t>
            </w:r>
          </w:p>
        </w:tc>
        <w:tc>
          <w:tcPr>
            <w:tcW w:type="dxa" w:w="1234"/>
          </w:tcPr>
          <w:p>
            <w:r>
              <w:t>all</w:t>
            </w:r>
          </w:p>
        </w:tc>
        <w:tc>
          <w:tcPr>
            <w:tcW w:type="dxa" w:w="1234"/>
          </w:tcPr>
          <w:p>
            <w:r>
              <w:t>38</w:t>
            </w:r>
          </w:p>
        </w:tc>
        <w:tc>
          <w:tcPr>
            <w:tcW w:type="dxa" w:w="1234"/>
          </w:tcPr>
          <w:p>
            <w:r>
              <w:t>2244951.10</w:t>
            </w:r>
          </w:p>
        </w:tc>
        <w:tc>
          <w:tcPr>
            <w:tcW w:type="dxa" w:w="1234"/>
          </w:tcPr>
          <w:p>
            <w:r>
              <w:t>251942.93</w:t>
            </w:r>
          </w:p>
        </w:tc>
        <w:tc>
          <w:tcPr>
            <w:tcW w:type="dxa" w:w="1234"/>
          </w:tcPr>
          <w:p>
            <w:r>
              <w:t>0.112226</w:t>
            </w:r>
          </w:p>
        </w:tc>
      </w:tr>
      <w:tr>
        <w:tc>
          <w:tcPr>
            <w:tcW w:type="dxa" w:w="1234"/>
          </w:tcPr>
          <w:p>
            <w:r>
              <w:t>Tarjetas</w:t>
            </w:r>
          </w:p>
        </w:tc>
        <w:tc>
          <w:tcPr>
            <w:tcW w:type="dxa" w:w="1234"/>
          </w:tcPr>
          <w:p>
            <w:r>
              <w:t>1</w:t>
            </w:r>
          </w:p>
        </w:tc>
        <w:tc>
          <w:tcPr>
            <w:tcW w:type="dxa" w:w="1234"/>
          </w:tcPr>
          <w:p>
            <w:r>
              <w:t>all</w:t>
            </w:r>
          </w:p>
        </w:tc>
        <w:tc>
          <w:tcPr>
            <w:tcW w:type="dxa" w:w="1234"/>
          </w:tcPr>
          <w:p>
            <w:r>
              <w:t>1526</w:t>
            </w:r>
          </w:p>
        </w:tc>
        <w:tc>
          <w:tcPr>
            <w:tcW w:type="dxa" w:w="1234"/>
          </w:tcPr>
          <w:p>
            <w:r>
              <w:t>6614503.17</w:t>
            </w:r>
          </w:p>
        </w:tc>
        <w:tc>
          <w:tcPr>
            <w:tcW w:type="dxa" w:w="1234"/>
          </w:tcPr>
          <w:p>
            <w:r>
              <w:t>159269.35</w:t>
            </w:r>
          </w:p>
        </w:tc>
        <w:tc>
          <w:tcPr>
            <w:tcW w:type="dxa" w:w="1234"/>
          </w:tcPr>
          <w:p>
            <w:r>
              <w:t>0.024079</w:t>
            </w:r>
          </w:p>
        </w:tc>
      </w:tr>
      <w:tr>
        <w:tc>
          <w:tcPr>
            <w:tcW w:type="dxa" w:w="1234"/>
          </w:tcPr>
          <w:p>
            <w:r>
              <w:t>Tarjetas</w:t>
            </w:r>
          </w:p>
        </w:tc>
        <w:tc>
          <w:tcPr>
            <w:tcW w:type="dxa" w:w="1234"/>
          </w:tcPr>
          <w:p>
            <w:r>
              <w:t>2</w:t>
            </w:r>
          </w:p>
        </w:tc>
        <w:tc>
          <w:tcPr>
            <w:tcW w:type="dxa" w:w="1234"/>
          </w:tcPr>
          <w:p>
            <w:r>
              <w:t>all</w:t>
            </w:r>
          </w:p>
        </w:tc>
        <w:tc>
          <w:tcPr>
            <w:tcW w:type="dxa" w:w="1234"/>
          </w:tcPr>
          <w:p>
            <w:r>
              <w:t>156</w:t>
            </w:r>
          </w:p>
        </w:tc>
        <w:tc>
          <w:tcPr>
            <w:tcW w:type="dxa" w:w="1234"/>
          </w:tcPr>
          <w:p>
            <w:r>
              <w:t>672454.41</w:t>
            </w:r>
          </w:p>
        </w:tc>
        <w:tc>
          <w:tcPr>
            <w:tcW w:type="dxa" w:w="1234"/>
          </w:tcPr>
          <w:p>
            <w:r>
              <w:t>84444.87</w:t>
            </w:r>
          </w:p>
        </w:tc>
        <w:tc>
          <w:tcPr>
            <w:tcW w:type="dxa" w:w="1234"/>
          </w:tcPr>
          <w:p>
            <w:r>
              <w:t>0.125577</w:t>
            </w:r>
          </w:p>
        </w:tc>
      </w:tr>
      <w:tr>
        <w:tc>
          <w:tcPr>
            <w:tcW w:type="dxa" w:w="1234"/>
          </w:tcPr>
          <w:p>
            <w:r>
              <w:t>Tarjetas</w:t>
            </w:r>
          </w:p>
        </w:tc>
        <w:tc>
          <w:tcPr>
            <w:tcW w:type="dxa" w:w="1234"/>
          </w:tcPr>
          <w:p>
            <w:r>
              <w:t>3</w:t>
            </w:r>
          </w:p>
        </w:tc>
        <w:tc>
          <w:tcPr>
            <w:tcW w:type="dxa" w:w="1234"/>
          </w:tcPr>
          <w:p>
            <w:r>
              <w:t>all</w:t>
            </w:r>
          </w:p>
        </w:tc>
        <w:tc>
          <w:tcPr>
            <w:tcW w:type="dxa" w:w="1234"/>
          </w:tcPr>
          <w:p>
            <w:r>
              <w:t>85</w:t>
            </w:r>
          </w:p>
        </w:tc>
        <w:tc>
          <w:tcPr>
            <w:tcW w:type="dxa" w:w="1234"/>
          </w:tcPr>
          <w:p>
            <w:r>
              <w:t>375181.03</w:t>
            </w:r>
          </w:p>
        </w:tc>
        <w:tc>
          <w:tcPr>
            <w:tcW w:type="dxa" w:w="1234"/>
          </w:tcPr>
          <w:p>
            <w:r>
              <w:t>64767.96</w:t>
            </w:r>
          </w:p>
        </w:tc>
        <w:tc>
          <w:tcPr>
            <w:tcW w:type="dxa" w:w="1234"/>
          </w:tcPr>
          <w:p>
            <w:r>
              <w:t>0.172631</w:t>
            </w:r>
          </w:p>
        </w:tc>
      </w:tr>
    </w:tbl>
    <w:p>
      <w:pPr>
        <w:pStyle w:val="Heading1"/>
      </w:pPr>
      <w:r>
        <w:t>5 Conclusiones y recomendación</w:t>
      </w:r>
    </w:p>
    <w:p>
      <w:r>
        <w:t>El motor no dispone de hallazgos automáticos que resumir: esta corrida no evaluó desempeño, estabilidad ni calibración.</w:t>
      </w:r>
    </w:p>
    <w:p>
      <w:pPr>
        <w:shd w:val="clear" w:color="auto" w:fill="FFF3CD"/>
      </w:pPr>
      <w:r>
        <w:rPr>
          <w:b/>
        </w:rPr>
        <w:t>POR COMPLETAR — Conclusiones y recomendación</w:t>
      </w:r>
    </w:p>
    <w:p>
      <w:pPr>
        <w:shd w:val="clear" w:color="auto" w:fill="FFF3CD"/>
      </w:pPr>
      <w:r>
        <w:rPr>
          <w:b w:val="0"/>
        </w:rPr>
        <w:t>Emite el juicio: ¿el modelo es apto para el uso previsto? La recomendación (aprobar, aprobar con observaciones o rechazar) la firma un humano, no el motor.</w:t>
      </w:r>
    </w:p>
    <w:p>
      <w:pPr>
        <w:shd w:val="clear" w:color="auto" w:fill="FFF3CD"/>
      </w:pPr>
      <w:r>
        <w:rPr>
          <w:b w:val="0"/>
        </w:rPr>
        <w:t>Enumera las observaciones y condiciones de uso, con responsable y plazo para cada una, y fija la fecha de la próxima revisión.</w:t>
      </w:r>
    </w:p>
    <w:p>
      <w:pPr>
        <w:pStyle w:val="Heading1"/>
      </w:pPr>
      <w:r>
        <w:t>6 Limitaciones y supuestos</w:t>
      </w:r>
    </w:p>
    <w:p>
      <w:r>
        <w:t>El alcance de este informe es el cálculo de la pérdida crediticia esperada IFRS 9 (capítulo «Provisiones IFRS 9 / ECL»), una función experimental cuya interfaz puede cambiar en próximas versiones. La curva PD lifetime se ajustó en esta misma corrida de forma autocontenida sobre la historia de la propia cartera, sin insumos de un scorecard de originación. Esta corrida no ejecutó la capa de validación formal; el informe no infiere sus resultados. El backtesting de la ECL no se ejecutó ni se infiere aquí.</w:t>
      </w:r>
    </w:p>
    <w:p>
      <w:r>
        <w:t>Todas las métricas provienen de la corrida trazada en el Anexo A. El informe no completa ningún hueco con supuestos: lo que no se pudo calcular aparece declarado como no disponible.</w:t>
      </w:r>
    </w:p>
    <w:p>
      <w:r>
        <w:t>No hay secciones obligatorias ausentes en esta corrida.</w:t>
      </w:r>
    </w:p>
    <w:p>
      <w:pPr>
        <w:pStyle w:val="Heading1"/>
      </w:pPr>
      <w:r>
        <w:t>Anexo A — Lineage y reproducibilidad</w:t>
      </w:r>
    </w:p>
    <w:p>
      <w:r>
        <w:t>La corrida queda identificada por los hashes de configuración y de datos, el commit del código y la semilla raíz. Con estos cuatro valores el resultado es reproducible.</w:t>
      </w:r>
    </w:p>
    <w:p>
      <w:pPr>
        <w:pStyle w:val="Heading3"/>
      </w:pPr>
      <w:r>
        <w:t>Parámetros y payload</w:t>
      </w:r>
    </w:p>
    <w:p>
      <w:r>
        <w:rPr>
          <w:b/>
        </w:rPr>
        <w:t>config_hash</w:t>
      </w:r>
    </w:p>
    <w:p>
      <w:r>
        <w:rPr>
          <w:rFonts w:ascii="Consolas" w:hAnsi="Consolas"/>
        </w:rPr>
        <w:t>013e69dc4c96e03ee87e9f3f54bcf5e1f6e6fd56b5a1b1ffdd5bf021093360b6</w:t>
      </w:r>
    </w:p>
    <w:p>
      <w:r>
        <w:rPr>
          <w:b/>
        </w:rPr>
        <w:t>created_at</w:t>
      </w:r>
    </w:p>
    <w:p>
      <w:r>
        <w:rPr>
          <w:rFonts w:ascii="Consolas" w:hAnsi="Consolas"/>
        </w:rPr>
        <w:t>2026-09-15T13:26:30.596779Z</w:t>
      </w:r>
    </w:p>
    <w:p>
      <w:r>
        <w:rPr>
          <w:b/>
        </w:rPr>
        <w:t>data_hash</w:t>
      </w:r>
    </w:p>
    <w:p>
      <w:r>
        <w:rPr>
          <w:rFonts w:ascii="Consolas" w:hAnsi="Consolas"/>
        </w:rPr>
        <w:t>d713808d0604110d6c450358453cea172934d93eb56ccdcb0e7aea7279a94e3e</w:t>
      </w:r>
    </w:p>
    <w:p>
      <w:r>
        <w:rPr>
          <w:b/>
        </w:rPr>
        <w:t>determinism_caveats</w:t>
      </w:r>
    </w:p>
    <w:p>
      <w:r>
        <w:rPr>
          <w:rFonts w:ascii="Consolas" w:hAnsi="Consolas"/>
        </w:rPr>
        <w:t>[]</w:t>
      </w:r>
    </w:p>
    <w:p>
      <w:r>
        <w:rPr>
          <w:b/>
        </w:rPr>
        <w:t>git_dirty</w:t>
      </w:r>
    </w:p>
    <w:p>
      <w:r>
        <w:rPr>
          <w:rFonts w:ascii="Consolas" w:hAnsi="Consolas"/>
        </w:rPr>
        <w:t>false</w:t>
      </w:r>
    </w:p>
    <w:p>
      <w:r>
        <w:rPr>
          <w:b/>
        </w:rPr>
        <w:t>git_sha</w:t>
      </w:r>
    </w:p>
    <w:p>
      <w:r>
        <w:rPr>
          <w:rFonts w:ascii="Consolas" w:hAnsi="Consolas"/>
        </w:rPr>
        <w:t>104226e0c1bb2c4a46356ca4a52be047e738b6d7</w:t>
      </w:r>
    </w:p>
    <w:p>
      <w:r>
        <w:rPr>
          <w:b/>
        </w:rPr>
        <w:t>library_versions</w:t>
      </w:r>
    </w:p>
    <w:p>
      <w:r>
        <w:rPr>
          <w:rFonts w:ascii="Consolas" w:hAnsi="Consolas"/>
        </w:rPr>
        <w:t>{</w:t>
        <w:br/>
        <w:t xml:space="preserve">  "PyYAML": "6.0.3",</w:t>
        <w:br/>
        <w:t xml:space="preserve">  "nikodym": "1.16.0",</w:t>
        <w:br/>
        <w:t xml:space="preserve">  "numpy": "2.4.6",</w:t>
        <w:br/>
        <w:t xml:space="preserve">  "pandas": "2.3.3",</w:t>
        <w:br/>
        <w:t xml:space="preserve">  "pydantic": "2.13.4"</w:t>
        <w:br/>
        <w:t>}</w:t>
      </w:r>
    </w:p>
    <w:p>
      <w:r>
        <w:rPr>
          <w:b/>
        </w:rPr>
        <w:t>root_seed</w:t>
      </w:r>
    </w:p>
    <w:p>
      <w:r>
        <w:rPr>
          <w:rFonts w:ascii="Consolas" w:hAnsi="Consolas"/>
        </w:rPr>
        <w:t>20240706</w:t>
      </w:r>
    </w:p>
    <w:p>
      <w:r>
        <w:rPr>
          <w:b/>
        </w:rPr>
        <w:t>runtime_environment_hash</w:t>
      </w:r>
    </w:p>
    <w:p>
      <w:r>
        <w:rPr>
          <w:rFonts w:ascii="Consolas" w:hAnsi="Consolas"/>
        </w:rPr>
        <w:t>55e3e6faca67ce0ada608c8aa3f9bedba5e7d1348837dda23ed676d8f3b58270</w:t>
      </w:r>
    </w:p>
    <w:p>
      <w:r>
        <w:rPr>
          <w:b/>
        </w:rPr>
        <w:t>schema_version</w:t>
      </w:r>
    </w:p>
    <w:p>
      <w:r>
        <w:rPr>
          <w:rFonts w:ascii="Consolas" w:hAnsi="Consolas"/>
        </w:rPr>
        <w:t>1.0.0</w:t>
      </w:r>
    </w:p>
    <w:p>
      <w:r>
        <w:rPr>
          <w:b/>
        </w:rPr>
        <w:t>uv_lock_hash</w:t>
      </w:r>
    </w:p>
    <w:p>
      <w:r>
        <w:rPr>
          <w:rFonts w:ascii="Consolas" w:hAnsi="Consolas"/>
        </w:rPr>
        <w:t>32c611ad4b1e061c14e1262548bf30346610d7529a6e4fb7bc52c68ec3540d24</w:t>
      </w:r>
    </w:p>
    <w:p>
      <w:pPr>
        <w:pStyle w:val="Heading1"/>
      </w:pPr>
      <w:r>
        <w:t>Anexo B — Tablas detalladas</w:t>
      </w:r>
    </w:p>
    <w:p>
      <w:r>
        <w:t>Este anexo reproduce íntegras todas las tablas que produjo la corrida, incluidas las que el cuerpo del informe ya mostró. Es la trazabilidad completa: nada de lo que el motor calculó queda fuera del documento.</w:t>
      </w:r>
    </w:p>
    <w:p>
      <w:pPr>
        <w:pStyle w:val="Heading3"/>
      </w:pPr>
      <w:r>
        <w:t>Parámetros y payload</w:t>
      </w:r>
    </w:p>
    <w:p>
      <w:r>
        <w:rPr>
          <w:b/>
        </w:rPr>
        <w:t>figure_keys</w:t>
      </w:r>
    </w:p>
    <w:p>
      <w:r>
        <w:rPr>
          <w:rFonts w:ascii="Consolas" w:hAnsi="Consolas"/>
        </w:rPr>
        <w:t>[]</w:t>
      </w:r>
    </w:p>
    <w:p>
      <w:r>
        <w:rPr>
          <w:b/>
        </w:rPr>
        <w:t>table_keys</w:t>
      </w:r>
    </w:p>
    <w:p>
      <w:r>
        <w:rPr>
          <w:rFonts w:ascii="Consolas" w:hAnsi="Consolas"/>
        </w:rPr>
        <w:t>[</w:t>
        <w:br/>
        <w:t xml:space="preserve">  "provisioning_ifrs9.summary",</w:t>
        <w:br/>
        <w:t xml:space="preserve">  "data.states",</w:t>
        <w:br/>
        <w:t xml:space="preserve">  "data.partitions",</w:t>
        <w:br/>
        <w:t xml:space="preserve">  "data.exclusions"</w:t>
        <w:br/>
        <w:t>]</w:t>
      </w:r>
    </w:p>
    <w:p>
      <w:pPr>
        <w:pStyle w:val="Heading1"/>
      </w:pPr>
      <w:r>
        <w:t>Anexo C — Parámetros completos</w:t>
      </w:r>
    </w:p>
    <w:p>
      <w:r>
        <w:t>Este anexo reproduce el payload completo de cada etapa: los parámetros efectivos y las métricas estructuradas tal como las publicó cada step, sin resumir.</w:t>
      </w:r>
    </w:p>
    <w:p>
      <w:pPr>
        <w:pStyle w:val="Heading2"/>
      </w:pPr>
      <w:r>
        <w:t>C.1 Población, particiones y exclusiones</w:t>
      </w:r>
    </w:p>
    <w:p>
      <w:r>
        <w:rPr>
          <w:rFonts w:ascii="Consolas" w:hAnsi="Consolas"/>
        </w:rPr>
        <w:t>Artefacto de origen: data.data_card</w:t>
      </w:r>
    </w:p>
    <w:p>
      <w:pPr>
        <w:pStyle w:val="Heading3"/>
      </w:pPr>
      <w:r>
        <w:t>Parámetros y payload</w:t>
      </w:r>
    </w:p>
    <w:p>
      <w:r>
        <w:rPr>
          <w:b/>
        </w:rPr>
        <w:t>bad_rate</w:t>
      </w:r>
    </w:p>
    <w:p>
      <w:r>
        <w:rPr>
          <w:rFonts w:ascii="Consolas" w:hAnsi="Consolas"/>
        </w:rPr>
        <w:t>0.0963</w:t>
      </w:r>
    </w:p>
    <w:p>
      <w:r>
        <w:rPr>
          <w:b/>
        </w:rPr>
        <w:t>class_counts</w:t>
      </w:r>
    </w:p>
    <w:p>
      <w:r>
        <w:rPr>
          <w:rFonts w:ascii="Consolas" w:hAnsi="Consolas"/>
        </w:rPr>
        <w:t>{</w:t>
        <w:br/>
        <w:t xml:space="preserve">  "bueno": 5422,</w:t>
        <w:br/>
        <w:t xml:space="preserve">  "excluido": 0,</w:t>
        <w:br/>
        <w:t xml:space="preserve">  "indeterminado": 0,</w:t>
        <w:br/>
        <w:t xml:space="preserve">  "malo": 578</w:t>
        <w:br/>
        <w:t>}</w:t>
      </w:r>
    </w:p>
    <w:p>
      <w:r>
        <w:rPr>
          <w:b/>
        </w:rPr>
        <w:t>data_hash</w:t>
      </w:r>
    </w:p>
    <w:p>
      <w:r>
        <w:rPr>
          <w:rFonts w:ascii="Consolas" w:hAnsi="Consolas"/>
        </w:rPr>
        <w:t>d713808d0604110d6c450358453cea172934d93eb56ccdcb0e7aea7279a94e3e</w:t>
      </w:r>
    </w:p>
    <w:p>
      <w:r>
        <w:rPr>
          <w:b/>
        </w:rPr>
        <w:t>effective_config</w:t>
      </w:r>
    </w:p>
    <w:p>
      <w:r>
        <w:rPr>
          <w:rFonts w:ascii="Consolas" w:hAnsi="Consolas"/>
        </w:rPr>
        <w:t>{</w:t>
        <w:br/>
        <w:t xml:space="preserve">  "load": {</w:t>
        <w:br/>
        <w:t xml:space="preserve">    "backend": "pandas",</w:t>
        <w:br/>
        <w:t xml:space="preserve">    "csv_options": {</w:t>
        <w:br/>
        <w:t xml:space="preserve">      "decimal": ".",</w:t>
        <w:br/>
        <w:t xml:space="preserve">      "encoding": "utf-8",</w:t>
        <w:br/>
        <w:t xml:space="preserve">      "sep": ","</w:t>
        <w:br/>
        <w:t xml:space="preserve">    },</w:t>
        <w:br/>
        <w:t xml:space="preserve">    "file_format": "auto",</w:t>
        <w:br/>
        <w:t xml:space="preserve">    "source": ".nikodym-demo-fixtures-f4/datasets/ifrs9_retail_latam.parquet"</w:t>
        <w:br/>
        <w:t xml:space="preserve">  },</w:t>
        <w:br/>
        <w:t xml:space="preserve">  "missing": {</w:t>
        <w:br/>
        <w:t xml:space="preserve">    "max_missing_rate": "0.9900",</w:t>
        <w:br/>
        <w:t xml:space="preserve">    "special_values": []</w:t>
        <w:br/>
        <w:t xml:space="preserve">  },</w:t>
        <w:br/>
        <w:t xml:space="preserve">  "partition": {</w:t>
        <w:br/>
        <w:t xml:space="preserve">    "min_bads_per_partition": 30,</w:t>
        <w:br/>
        <w:t xml:space="preserve">    "strategy": {</w:t>
        <w:br/>
        <w:t xml:space="preserve">      "cohort_col": "cohorte",</w:t>
        <w:br/>
        <w:t xml:space="preserve">      "holdout_fraction": "0.2000",</w:t>
        <w:br/>
        <w:t xml:space="preserve">      "oot_cohorts": [</w:t>
        <w:br/>
        <w:t xml:space="preserve">        "2024Q2"</w:t>
        <w:br/>
        <w:t xml:space="preserve">      ],</w:t>
        <w:br/>
        <w:t xml:space="preserve">      "type": "cohort"</w:t>
        <w:br/>
        <w:t xml:space="preserve">    },</w:t>
        <w:br/>
        <w:t xml:space="preserve">    "ttd_includes_excluded": true</w:t>
        <w:br/>
        <w:t xml:space="preserve">  },</w:t>
        <w:br/>
        <w:t xml:space="preserve">  "schema_": {</w:t>
        <w:br/>
        <w:t xml:space="preserve">    "columns": [</w:t>
        <w:br/>
        <w:t xml:space="preserve">      {</w:t>
        <w:br/>
        <w:t xml:space="preserve">        "coerce": false,</w:t>
        <w:br/>
        <w:t xml:space="preserve">        "dtype": "float",</w:t>
        <w:br/>
        <w:t xml:space="preserve">        "ge": null,</w:t>
        <w:br/>
        <w:t xml:space="preserve">        "isin": null,</w:t>
        <w:br/>
        <w:t xml:space="preserve">        "le": null,</w:t>
        <w:br/>
        <w:t xml:space="preserve">        "name": "ingreso_mensual",</w:t>
        <w:br/>
        <w:t xml:space="preserve">        "nullable": false,</w:t>
        <w:br/>
        <w:t xml:space="preserve">        "required": true,</w:t>
        <w:br/>
        <w:t xml:space="preserve">        "unique": false</w:t>
        <w:br/>
        <w:t xml:space="preserve">      },</w:t>
        <w:br/>
        <w:t xml:space="preserve">      {</w:t>
        <w:br/>
        <w:t xml:space="preserve">        "coerce": false,</w:t>
        <w:br/>
        <w:t xml:space="preserve">        "dtype": "float",</w:t>
        <w:br/>
        <w:t xml:space="preserve">        "ge": null,</w:t>
        <w:br/>
        <w:t xml:space="preserve">        "isin": null,</w:t>
        <w:br/>
        <w:t xml:space="preserve">        "le": null,</w:t>
        <w:br/>
        <w:t xml:space="preserve">        "name": "deuda_ingreso",</w:t>
        <w:br/>
        <w:t xml:space="preserve">        "nullable": false,</w:t>
        <w:br/>
        <w:t xml:space="preserve">        "required": true,</w:t>
        <w:br/>
        <w:t xml:space="preserve">        "unique": false</w:t>
        <w:br/>
        <w:t xml:space="preserve">      },</w:t>
        <w:br/>
        <w:t xml:space="preserve">      {</w:t>
        <w:br/>
        <w:t xml:space="preserve">        "coerce": false,</w:t>
        <w:br/>
        <w:t xml:space="preserve">        "dtype": "float",</w:t>
        <w:br/>
        <w:t xml:space="preserve">        "ge": null,</w:t>
        <w:br/>
        <w:t xml:space="preserve">        "isin": null,</w:t>
        <w:br/>
        <w:t xml:space="preserve">        "le": null,</w:t>
        <w:br/>
        <w:t xml:space="preserve">        "name": "utilizacion_linea",</w:t>
        <w:br/>
        <w:t xml:space="preserve">        "nullable": false,</w:t>
        <w:br/>
        <w:t xml:space="preserve">        "required": true,</w:t>
        <w:br/>
        <w:t xml:space="preserve">        "unique": false</w:t>
        <w:br/>
        <w:t xml:space="preserve">      },</w:t>
        <w:br/>
        <w:t xml:space="preserve">      {</w:t>
        <w:br/>
        <w:t xml:space="preserve">        "coerce": false,</w:t>
        <w:br/>
        <w:t xml:space="preserve">        "dtype": "int",</w:t>
        <w:br/>
        <w:t xml:space="preserve">        "ge": null,</w:t>
        <w:br/>
        <w:t xml:space="preserve">        "isin": null,</w:t>
        <w:br/>
        <w:t xml:space="preserve">        "le": null,</w:t>
        <w:br/>
        <w:t xml:space="preserve">        "name": "mora_max_12m",</w:t>
        <w:br/>
        <w:t xml:space="preserve">        "nullable": false,</w:t>
        <w:br/>
        <w:t xml:space="preserve">        "required": true,</w:t>
        <w:br/>
        <w:t xml:space="preserve">        "unique": false</w:t>
        <w:br/>
        <w:t xml:space="preserve">      },</w:t>
        <w:br/>
        <w:t xml:space="preserve">      {</w:t>
        <w:br/>
        <w:t xml:space="preserve">        "coerce": false,</w:t>
        <w:br/>
        <w:t xml:space="preserve">        "dtype": "int",</w:t>
        <w:br/>
        <w:t xml:space="preserve">        "ge": null,</w:t>
        <w:br/>
        <w:t xml:space="preserve">        "isin": null,</w:t>
        <w:br/>
        <w:t xml:space="preserve">        "le": null,</w:t>
        <w:br/>
        <w:t xml:space="preserve">        "name": "antiguedad_meses",</w:t>
        <w:br/>
        <w:t xml:space="preserve">        "nullable": false,</w:t>
        <w:br/>
        <w:t xml:space="preserve">        "required": true,</w:t>
        <w:br/>
        <w:t xml:space="preserve">        "unique": false</w:t>
        <w:br/>
        <w:t xml:space="preserve">      },</w:t>
        <w:br/>
        <w:t xml:space="preserve">      {</w:t>
        <w:br/>
        <w:t xml:space="preserve">        "coerce": false,</w:t>
        <w:br/>
        <w:t xml:space="preserve">        "dtype": "str",</w:t>
        <w:br/>
        <w:t xml:space="preserve">        "ge": null,</w:t>
        <w:br/>
        <w:t xml:space="preserve">        "isin": null,</w:t>
        <w:br/>
        <w:t xml:space="preserve">        "le": null,</w:t>
        <w:br/>
        <w:t xml:space="preserve">        "name": "segmento",</w:t>
        <w:br/>
        <w:t xml:space="preserve">        "nullable": false,</w:t>
        <w:br/>
        <w:t xml:space="preserve">        "required": true,</w:t>
        <w:br/>
        <w:t xml:space="preserve">        "unique": false</w:t>
        <w:br/>
        <w:t xml:space="preserve">      },</w:t>
        <w:br/>
        <w:t xml:space="preserve">      {</w:t>
        <w:br/>
        <w:t xml:space="preserve">        "coerce": false,</w:t>
        <w:br/>
        <w:t xml:space="preserve">        "dtype": "str",</w:t>
        <w:br/>
        <w:t xml:space="preserve">        "ge": null,</w:t>
        <w:br/>
        <w:t xml:space="preserve">        "isin": null,</w:t>
        <w:br/>
        <w:t xml:space="preserve">        "le": null,</w:t>
        <w:br/>
        <w:t xml:space="preserve">        "name": "cohorte",</w:t>
        <w:br/>
        <w:t xml:space="preserve">        "nullable": false,</w:t>
        <w:br/>
        <w:t xml:space="preserve">        "required": true,</w:t>
        <w:br/>
        <w:t xml:space="preserve">        "unique": false</w:t>
        <w:br/>
        <w:t xml:space="preserve">      },</w:t>
        <w:br/>
        <w:t xml:space="preserve">      {</w:t>
        <w:br/>
        <w:t xml:space="preserve">        "coerce": false,</w:t>
        <w:br/>
        <w:t xml:space="preserve">        "dtype": "int",</w:t>
        <w:br/>
        <w:t xml:space="preserve">        "ge": null,</w:t>
        <w:br/>
        <w:t xml:space="preserve">        "isin": null,</w:t>
        <w:br/>
        <w:t xml:space="preserve">        "le": null,</w:t>
        <w:br/>
        <w:t xml:space="preserve">        "name": "bad_flag",</w:t>
        <w:br/>
        <w:t xml:space="preserve">        "nullable": false,</w:t>
        <w:br/>
        <w:t xml:space="preserve">        "required": true,</w:t>
        <w:br/>
        <w:t xml:space="preserve">        "unique": false</w:t>
        <w:br/>
        <w:t xml:space="preserve">      }</w:t>
        <w:br/>
        <w:t xml:space="preserve">    ],</w:t>
        <w:br/>
        <w:t xml:space="preserve">    "index_col": "loan_id",</w:t>
        <w:br/>
        <w:t xml:space="preserve">    "ordered": false,</w:t>
        <w:br/>
        <w:t xml:space="preserve">    "strict": false,</w:t>
        <w:br/>
        <w:t xml:space="preserve">    "unique_keys": null</w:t>
        <w:br/>
        <w:t xml:space="preserve">  },</w:t>
        <w:br/>
        <w:t xml:space="preserve">  "target": {</w:t>
        <w:br/>
        <w:t xml:space="preserve">    "bad_rule": {</w:t>
        <w:br/>
        <w:t xml:space="preserve">      "all_of": [</w:t>
        <w:br/>
        <w:t xml:space="preserve">        {</w:t>
        <w:br/>
        <w:t xml:space="preserve">          "col": "bad_flag",</w:t>
        <w:br/>
        <w:t xml:space="preserve">          "op": "==",</w:t>
        <w:br/>
        <w:t xml:space="preserve">          "value": 1</w:t>
        <w:br/>
        <w:t xml:space="preserve">        }</w:t>
        <w:br/>
        <w:t xml:space="preserve">      ],</w:t>
        <w:br/>
        <w:t xml:space="preserve">      "any_of": []</w:t>
        <w:br/>
        <w:t xml:space="preserve">    },</w:t>
        <w:br/>
        <w:t xml:space="preserve">    "exclusion_rules": [],</w:t>
        <w:br/>
        <w:t xml:space="preserve">    "good_rule": null,</w:t>
        <w:br/>
        <w:t xml:space="preserve">    "indeterminate_rule": null,</w:t>
        <w:br/>
        <w:t xml:space="preserve">    "target_col": "target",</w:t>
        <w:br/>
        <w:t xml:space="preserve">    "window": null</w:t>
        <w:br/>
        <w:t xml:space="preserve">  },</w:t>
        <w:br/>
        <w:t xml:space="preserve">  "type": "standard"</w:t>
        <w:br/>
        <w:t>}</w:t>
      </w:r>
    </w:p>
    <w:p>
      <w:r>
        <w:rPr>
          <w:b/>
        </w:rPr>
        <w:t>exclusions_by_reason</w:t>
      </w:r>
    </w:p>
    <w:p>
      <w:r>
        <w:rPr>
          <w:rFonts w:ascii="Consolas" w:hAnsi="Consolas"/>
        </w:rPr>
        <w:t>{}</w:t>
      </w:r>
    </w:p>
    <w:p>
      <w:r>
        <w:rPr>
          <w:b/>
        </w:rPr>
        <w:t>n_features</w:t>
      </w:r>
    </w:p>
    <w:p>
      <w:r>
        <w:rPr>
          <w:rFonts w:ascii="Consolas" w:hAnsi="Consolas"/>
        </w:rPr>
        <w:t>17</w:t>
      </w:r>
    </w:p>
    <w:p>
      <w:r>
        <w:rPr>
          <w:b/>
        </w:rPr>
        <w:t>n_rows</w:t>
      </w:r>
    </w:p>
    <w:p>
      <w:r>
        <w:rPr>
          <w:rFonts w:ascii="Consolas" w:hAnsi="Consolas"/>
        </w:rPr>
        <w:t>6000</w:t>
      </w:r>
    </w:p>
    <w:p>
      <w:r>
        <w:rPr>
          <w:b/>
        </w:rPr>
        <w:t>partition_bad_rates</w:t>
      </w:r>
    </w:p>
    <w:p>
      <w:r>
        <w:rPr>
          <w:rFonts w:ascii="Consolas" w:hAnsi="Consolas"/>
        </w:rPr>
        <w:t>{</w:t>
        <w:br/>
        <w:t xml:space="preserve">  "desarrollo": "0.0964",</w:t>
        <w:br/>
        <w:t xml:space="preserve">  "fuera_de_modelo": "0.0000",</w:t>
        <w:br/>
        <w:t xml:space="preserve">  "holdout": "0.1000",</w:t>
        <w:br/>
        <w:t xml:space="preserve">  "oot": "0.0920"</w:t>
        <w:br/>
        <w:t>}</w:t>
      </w:r>
    </w:p>
    <w:p>
      <w:r>
        <w:rPr>
          <w:b/>
        </w:rPr>
        <w:t>partition_sizes</w:t>
      </w:r>
    </w:p>
    <w:p>
      <w:r>
        <w:rPr>
          <w:rFonts w:ascii="Consolas" w:hAnsi="Consolas"/>
        </w:rPr>
        <w:t>{</w:t>
        <w:br/>
        <w:t xml:space="preserve">  "desarrollo": 4024,</w:t>
        <w:br/>
        <w:t xml:space="preserve">  "fuera_de_modelo": 0,</w:t>
        <w:br/>
        <w:t xml:space="preserve">  "holdout": 1030,</w:t>
        <w:br/>
        <w:t xml:space="preserve">  "oot": 946</w:t>
        <w:br/>
        <w:t>}</w:t>
      </w:r>
    </w:p>
    <w:p>
      <w:r>
        <w:rPr>
          <w:b/>
        </w:rPr>
        <w:t>performance_window_months</w:t>
      </w:r>
    </w:p>
    <w:p>
      <w:r>
        <w:rPr>
          <w:rFonts w:ascii="Consolas" w:hAnsi="Consolas"/>
        </w:rPr>
        <w:t>—</w:t>
      </w:r>
    </w:p>
    <w:p>
      <w:r>
        <w:rPr>
          <w:b/>
        </w:rPr>
        <w:t>source</w:t>
      </w:r>
    </w:p>
    <w:p>
      <w:r>
        <w:rPr>
          <w:rFonts w:ascii="Consolas" w:hAnsi="Consolas"/>
        </w:rPr>
        <w:t>ifrs9_retail_latam.parquet</w:t>
      </w:r>
    </w:p>
    <w:p>
      <w:r>
        <w:rPr>
          <w:b/>
        </w:rPr>
        <w:t>target_col</w:t>
      </w:r>
    </w:p>
    <w:p>
      <w:r>
        <w:rPr>
          <w:rFonts w:ascii="Consolas" w:hAnsi="Consolas"/>
        </w:rPr>
        <w:t>target</w:t>
      </w:r>
    </w:p>
    <w:p>
      <w:pPr>
        <w:pStyle w:val="Heading2"/>
      </w:pPr>
      <w:r>
        <w:t>C.2 Supervivencia y curva PD lifetime</w:t>
      </w:r>
    </w:p>
    <w:p>
      <w:r>
        <w:rPr>
          <w:rFonts w:ascii="Consolas" w:hAnsi="Consolas"/>
        </w:rPr>
        <w:t>Artefacto de origen: survival.card</w:t>
      </w:r>
    </w:p>
    <w:p>
      <w:pPr>
        <w:pStyle w:val="Heading3"/>
      </w:pPr>
      <w:r>
        <w:t>Parámetros y payload</w:t>
      </w:r>
    </w:p>
    <w:p>
      <w:r>
        <w:rPr>
          <w:b/>
        </w:rPr>
        <w:t>dependency_versions</w:t>
      </w:r>
    </w:p>
    <w:p>
      <w:r>
        <w:rPr>
          <w:rFonts w:ascii="Consolas" w:hAnsi="Consolas"/>
        </w:rPr>
        <w:t>{</w:t>
        <w:br/>
        <w:t xml:space="preserve">  "numpy": "2.4.6",</w:t>
        <w:br/>
        <w:t xml:space="preserve">  "pandas": "2.3.3",</w:t>
        <w:br/>
        <w:t xml:space="preserve">  "statsmodels": "0.14.6"</w:t>
        <w:br/>
        <w:t>}</w:t>
      </w:r>
    </w:p>
    <w:p>
      <w:r>
        <w:rPr>
          <w:b/>
        </w:rPr>
        <w:t>diagnostics</w:t>
      </w:r>
    </w:p>
    <w:p>
      <w:r>
        <w:rPr>
          <w:rFonts w:ascii="Consolas" w:hAnsi="Consolas"/>
        </w:rPr>
        <w:t>{</w:t>
        <w:br/>
        <w:t xml:space="preserve">  "aft_family": null,</w:t>
        <w:br/>
        <w:t xml:space="preserve">  "fit_statistics": {</w:t>
        <w:br/>
        <w:t xml:space="preserve">    "aic": "11002.31",</w:t>
        <w:br/>
        <w:t xml:space="preserve">    "converged": "True",</w:t>
        <w:br/>
        <w:t xml:space="preserve">    "deviance": "10984.31",</w:t>
        <w:br/>
        <w:t xml:space="preserve">    "df_model": 8,</w:t>
        <w:br/>
        <w:t xml:space="preserve">    "df_resid": 26636,</w:t>
        <w:br/>
        <w:t xml:space="preserve">    "llf": "-5492.16",</w:t>
        <w:br/>
        <w:t xml:space="preserve">    "n_iterations": 6,</w:t>
        <w:br/>
        <w:t xml:space="preserve">    "n_obs": 26645</w:t>
        <w:br/>
        <w:t xml:space="preserve">  },</w:t>
        <w:br/>
        <w:t xml:space="preserve">  "link": "logit",</w:t>
        <w:br/>
        <w:t xml:space="preserve">  "max_observed_time": "5.000000",</w:t>
        <w:br/>
        <w:t xml:space="preserve">  "method": "discrete_hazard",</w:t>
        <w:br/>
        <w:t xml:space="preserve">  "n_censored": 4498,</w:t>
        <w:br/>
        <w:t xml:space="preserve">  "n_events": 1502,</w:t>
        <w:br/>
        <w:t xml:space="preserve">  "n_rows": 6000,</w:t>
        <w:br/>
        <w:t xml:space="preserve">  "schoenfeld_test": null,</w:t>
        <w:br/>
        <w:t xml:space="preserve">  "warnings": []</w:t>
        <w:br/>
        <w:t>}</w:t>
      </w:r>
    </w:p>
    <w:p>
      <w:r>
        <w:rPr>
          <w:b/>
        </w:rPr>
        <w:t>duration_col</w:t>
      </w:r>
    </w:p>
    <w:p>
      <w:r>
        <w:rPr>
          <w:rFonts w:ascii="Consolas" w:hAnsi="Consolas"/>
        </w:rPr>
        <w:t>duration</w:t>
      </w:r>
    </w:p>
    <w:p>
      <w:r>
        <w:rPr>
          <w:b/>
        </w:rPr>
        <w:t>effective_config</w:t>
      </w:r>
    </w:p>
    <w:p>
      <w:r>
        <w:rPr>
          <w:rFonts w:ascii="Consolas" w:hAnsi="Consolas"/>
        </w:rPr>
        <w:t>{</w:t>
        <w:br/>
        <w:t xml:space="preserve">  "cox_aft": {</w:t>
        <w:br/>
        <w:t xml:space="preserve">    "aft_family": null,</w:t>
        <w:br/>
        <w:t xml:space="preserve">    "ph_p_value_threshold": null,</w:t>
        <w:br/>
        <w:t xml:space="preserve">    "ph_test_enabled": true</w:t>
        <w:br/>
        <w:t xml:space="preserve">  },</w:t>
        <w:br/>
        <w:t xml:space="preserve">  "discrete_hazard": {</w:t>
        <w:br/>
        <w:t xml:space="preserve">    "include_period_dummies": true,</w:t>
        <w:br/>
        <w:t xml:space="preserve">    "link": "logit",</w:t>
        <w:br/>
        <w:t xml:space="preserve">    "min_events_per_period": null,</w:t>
        <w:br/>
        <w:t xml:space="preserve">    "pd_role": "none"</w:t>
        <w:br/>
        <w:t xml:space="preserve">  },</w:t>
        <w:br/>
        <w:t xml:space="preserve">  "fail_on_falta_dato": true,</w:t>
        <w:br/>
        <w:t xml:space="preserve">  "input": {</w:t>
        <w:br/>
        <w:t xml:space="preserve">    "covariate_cols": [</w:t>
        <w:br/>
        <w:t xml:space="preserve">      "days_past_due",</w:t>
        <w:br/>
        <w:t xml:space="preserve">      "utilizacion_linea",</w:t>
        <w:br/>
        <w:t xml:space="preserve">      "deuda_ingreso",</w:t>
        <w:br/>
        <w:t xml:space="preserve">      "antiguedad_meses"</w:t>
        <w:br/>
        <w:t xml:space="preserve">    ],</w:t>
        <w:br/>
        <w:t xml:space="preserve">    "duration_col": "duration",</w:t>
        <w:br/>
        <w:t xml:space="preserve">    "event_col": "event",</w:t>
        <w:br/>
        <w:t xml:space="preserve">    "id_col": null,</w:t>
        <w:br/>
        <w:t xml:space="preserve">    "linear_predictor_column": "linear_predictor",</w:t>
        <w:br/>
        <w:t xml:space="preserve">    "pd_column": "pd_raw",</w:t>
        <w:br/>
        <w:t xml:space="preserve">    "pd_source": "none",</w:t>
        <w:br/>
        <w:t xml:space="preserve">    "segment_col": null</w:t>
        <w:br/>
        <w:t xml:space="preserve">  },</w:t>
        <w:br/>
        <w:t xml:space="preserve">  "kaplan_meier": {</w:t>
        <w:br/>
        <w:t xml:space="preserve">    "confidence_level": "0.950000",</w:t>
        <w:br/>
        <w:t xml:space="preserve">    "confidence_transform": "loglog"</w:t>
        <w:br/>
        <w:t xml:space="preserve">  },</w:t>
        <w:br/>
        <w:t xml:space="preserve">  "method": "discrete_hazard",</w:t>
        <w:br/>
        <w:t xml:space="preserve">  "schema_version": "1.0.0",</w:t>
        <w:br/>
        <w:t xml:space="preserve">  "time_grid": {</w:t>
        <w:br/>
        <w:t xml:space="preserve">    "evaluation_times": [],</w:t>
        <w:br/>
        <w:t xml:space="preserve">    "horizon_periods": 5,</w:t>
        <w:br/>
        <w:t xml:space="preserve">    "time_unit": "year"</w:t>
        <w:br/>
        <w:t xml:space="preserve">  },</w:t>
        <w:br/>
        <w:t xml:space="preserve">  "type": "standard"</w:t>
        <w:br/>
        <w:t>}</w:t>
      </w:r>
    </w:p>
    <w:p>
      <w:r>
        <w:rPr>
          <w:b/>
        </w:rPr>
        <w:t>event_col</w:t>
      </w:r>
    </w:p>
    <w:p>
      <w:r>
        <w:rPr>
          <w:rFonts w:ascii="Consolas" w:hAnsi="Consolas"/>
        </w:rPr>
        <w:t>event</w:t>
      </w:r>
    </w:p>
    <w:p>
      <w:r>
        <w:rPr>
          <w:b/>
        </w:rPr>
        <w:t>falta_dato</w:t>
      </w:r>
    </w:p>
    <w:p>
      <w:r>
        <w:rPr>
          <w:rFonts w:ascii="Consolas" w:hAnsi="Consolas"/>
        </w:rPr>
        <w:t>[]</w:t>
      </w:r>
    </w:p>
    <w:p>
      <w:r>
        <w:rPr>
          <w:b/>
        </w:rPr>
        <w:t>method</w:t>
      </w:r>
    </w:p>
    <w:p>
      <w:r>
        <w:rPr>
          <w:rFonts w:ascii="Consolas" w:hAnsi="Consolas"/>
        </w:rPr>
        <w:t>discrete_hazard</w:t>
      </w:r>
    </w:p>
    <w:p>
      <w:r>
        <w:rPr>
          <w:b/>
        </w:rPr>
        <w:t>n_events</w:t>
      </w:r>
    </w:p>
    <w:p>
      <w:r>
        <w:rPr>
          <w:rFonts w:ascii="Consolas" w:hAnsi="Consolas"/>
        </w:rPr>
        <w:t>1502</w:t>
      </w:r>
    </w:p>
    <w:p>
      <w:r>
        <w:rPr>
          <w:b/>
        </w:rPr>
        <w:t>n_periods</w:t>
      </w:r>
    </w:p>
    <w:p>
      <w:r>
        <w:rPr>
          <w:rFonts w:ascii="Consolas" w:hAnsi="Consolas"/>
        </w:rPr>
        <w:t>5</w:t>
      </w:r>
    </w:p>
    <w:p>
      <w:r>
        <w:rPr>
          <w:b/>
        </w:rPr>
        <w:t>n_rows</w:t>
      </w:r>
    </w:p>
    <w:p>
      <w:r>
        <w:rPr>
          <w:rFonts w:ascii="Consolas" w:hAnsi="Consolas"/>
        </w:rPr>
        <w:t>6000</w:t>
      </w:r>
    </w:p>
    <w:p>
      <w:r>
        <w:rPr>
          <w:b/>
        </w:rPr>
        <w:t>output_columns</w:t>
      </w:r>
    </w:p>
    <w:p>
      <w:r>
        <w:rPr>
          <w:rFonts w:ascii="Consolas" w:hAnsi="Consolas"/>
        </w:rPr>
        <w:t>[</w:t>
        <w:br/>
        <w:t xml:space="preserve">  "row_id",</w:t>
        <w:br/>
        <w:t xml:space="preserve">  "segment",</w:t>
        <w:br/>
        <w:t xml:space="preserve">  "partition",</w:t>
        <w:br/>
        <w:t xml:space="preserve">  "period",</w:t>
        <w:br/>
        <w:t xml:space="preserve">  "time_value",</w:t>
        <w:br/>
        <w:t xml:space="preserve">  "time_unit",</w:t>
        <w:br/>
        <w:t xml:space="preserve">  "hazard",</w:t>
        <w:br/>
        <w:t xml:space="preserve">  "survival",</w:t>
        <w:br/>
        <w:t xml:space="preserve">  "pd_marginal",</w:t>
        <w:br/>
        <w:t xml:space="preserve">  "pd_cumulative",</w:t>
        <w:br/>
        <w:t xml:space="preserve">  "method",</w:t>
        <w:br/>
        <w:t xml:space="preserve">  "pd_source",</w:t>
        <w:br/>
        <w:t xml:space="preserve">  "scenario",</w:t>
        <w:br/>
        <w:t xml:space="preserve">  "warning_codes"</w:t>
        <w:br/>
        <w:t>]</w:t>
      </w:r>
    </w:p>
    <w:p>
      <w:r>
        <w:rPr>
          <w:b/>
        </w:rPr>
        <w:t>pd_source</w:t>
      </w:r>
    </w:p>
    <w:p>
      <w:r>
        <w:rPr>
          <w:rFonts w:ascii="Consolas" w:hAnsi="Consolas"/>
        </w:rPr>
        <w:t>—</w:t>
      </w:r>
    </w:p>
    <w:p>
      <w:r>
        <w:rPr>
          <w:b/>
        </w:rPr>
        <w:t>time_unit</w:t>
      </w:r>
    </w:p>
    <w:p>
      <w:r>
        <w:rPr>
          <w:rFonts w:ascii="Consolas" w:hAnsi="Consolas"/>
        </w:rPr>
        <w:t>year</w:t>
      </w:r>
    </w:p>
    <w:p>
      <w:pPr>
        <w:pStyle w:val="Heading3"/>
      </w:pPr>
      <w:r>
        <w:t>Métricas estructuradas</w:t>
      </w:r>
    </w:p>
    <w:p>
      <w:r>
        <w:rPr>
          <w:b/>
        </w:rPr>
        <w:t>fit_scope</w:t>
      </w:r>
    </w:p>
    <w:p>
      <w:r>
        <w:rPr>
          <w:rFonts w:ascii="Consolas" w:hAnsi="Consolas"/>
        </w:rPr>
        <w:t>{</w:t>
        <w:br/>
        <w:t xml:space="preserve">  "n_fit_rows": 6000,</w:t>
        <w:br/>
        <w:t xml:space="preserve">  "n_rows": 6000,</w:t>
        <w:br/>
        <w:t xml:space="preserve">  "scope": "poblacion_completa"</w:t>
        <w:br/>
        <w:t>}</w:t>
      </w:r>
    </w:p>
    <w:p>
      <w:r>
        <w:rPr>
          <w:b/>
        </w:rPr>
        <w:t>km_greenwood</w:t>
      </w:r>
    </w:p>
    <w:p>
      <w:r>
        <w:rPr>
          <w:rFonts w:ascii="Consolas" w:hAnsi="Consolas"/>
        </w:rPr>
        <w:t>{}</w:t>
      </w:r>
    </w:p>
    <w:p>
      <w:r>
        <w:rPr>
          <w:b/>
        </w:rPr>
        <w:t>pd_source</w:t>
      </w:r>
    </w:p>
    <w:p>
      <w:r>
        <w:rPr>
          <w:rFonts w:ascii="Consolas" w:hAnsi="Consolas"/>
        </w:rPr>
        <w:t>{</w:t>
        <w:br/>
        <w:t xml:space="preserve">  "coverage_column": null,</w:t>
        <w:br/>
        <w:t xml:space="preserve">  "linear_predictor_column": null,</w:t>
        <w:br/>
        <w:t xml:space="preserve">  "pd_column": null,</w:t>
        <w:br/>
        <w:t xml:space="preserve">  "pd_coverage": null,</w:t>
        <w:br/>
        <w:t xml:space="preserve">  "pd_rows": null,</w:t>
        <w:br/>
        <w:t xml:space="preserve">  "pd_source": "none",</w:t>
        <w:br/>
        <w:t xml:space="preserve">  "rows_without_match": [],</w:t>
        <w:br/>
        <w:t xml:space="preserve">  "source_artifact": null</w:t>
        <w:br/>
        <w:t>}</w:t>
      </w:r>
    </w:p>
    <w:p>
      <w:r>
        <w:rPr>
          <w:b/>
        </w:rPr>
        <w:t>person_period</w:t>
      </w:r>
    </w:p>
    <w:p>
      <w:r>
        <w:rPr>
          <w:rFonts w:ascii="Consolas" w:hAnsi="Consolas"/>
        </w:rPr>
        <w:t>{</w:t>
        <w:br/>
        <w:t xml:space="preserve">  "events_by_period": {</w:t>
        <w:br/>
        <w:t xml:space="preserve">    "1": 374,</w:t>
        <w:br/>
        <w:t xml:space="preserve">    "2": 339,</w:t>
        <w:br/>
        <w:t xml:space="preserve">    "3": 286,</w:t>
        <w:br/>
        <w:t xml:space="preserve">    "4": 270,</w:t>
        <w:br/>
        <w:t xml:space="preserve">    "5": 233</w:t>
        <w:br/>
        <w:t xml:space="preserve">  },</w:t>
        <w:br/>
        <w:t xml:space="preserve">  "n_rows": 26645</w:t>
        <w:br/>
        <w:t>}</w:t>
      </w:r>
    </w:p>
    <w:p>
      <w:r>
        <w:rPr>
          <w:b/>
        </w:rPr>
        <w:t>schoenfeld</w:t>
      </w:r>
    </w:p>
    <w:p>
      <w:r>
        <w:rPr>
          <w:rFonts w:ascii="Consolas" w:hAnsi="Consolas"/>
        </w:rPr>
        <w:t>{}</w:t>
      </w:r>
    </w:p>
    <w:p>
      <w:r>
        <w:rPr>
          <w:b/>
        </w:rPr>
        <w:t>term_structure_summary</w:t>
      </w:r>
    </w:p>
    <w:p>
      <w:r>
        <w:rPr>
          <w:rFonts w:ascii="Consolas" w:hAnsi="Consolas"/>
        </w:rPr>
        <w:t>{</w:t>
        <w:br/>
        <w:t xml:space="preserve">  "max_pd_cumulative": "0.995033",</w:t>
        <w:br/>
        <w:t xml:space="preserve">  "min_survival": "0.004967",</w:t>
        <w:br/>
        <w:t xml:space="preserve">  "n_periods": 5,</w:t>
        <w:br/>
        <w:t xml:space="preserve">  "n_rows": 30000</w:t>
        <w:br/>
        <w:t>}</w:t>
      </w:r>
    </w:p>
    <w:p>
      <w:r>
        <w:rPr>
          <w:b/>
        </w:rPr>
        <w:t>time_grid</w:t>
      </w:r>
    </w:p>
    <w:p>
      <w:r>
        <w:rPr>
          <w:rFonts w:ascii="Consolas" w:hAnsi="Consolas"/>
        </w:rPr>
        <w:t>{</w:t>
        <w:br/>
        <w:t xml:space="preserve">  "evaluation_times": [],</w:t>
        <w:br/>
        <w:t xml:space="preserve">  "horizon_periods": 5,</w:t>
        <w:br/>
        <w:t xml:space="preserve">  "resolved_times": [</w:t>
        <w:br/>
        <w:t xml:space="preserve">    1,</w:t>
        <w:br/>
        <w:t xml:space="preserve">    2,</w:t>
        <w:br/>
        <w:t xml:space="preserve">    3,</w:t>
        <w:br/>
        <w:t xml:space="preserve">    4,</w:t>
        <w:br/>
        <w:t xml:space="preserve">    5</w:t>
        <w:br/>
        <w:t xml:space="preserve">  ],</w:t>
        <w:br/>
        <w:t xml:space="preserve">  "source": "horizon_periods",</w:t>
        <w:br/>
        <w:t xml:space="preserve">  "time_unit": "year",</w:t>
        <w:br/>
        <w:t xml:space="preserve">  "warnings": []</w:t>
        <w:br/>
        <w:t>}</w:t>
      </w:r>
    </w:p>
    <w:p>
      <w:pPr>
        <w:pStyle w:val="Heading2"/>
      </w:pPr>
      <w:r>
        <w:t>C.3 Pérdida crediticia esperada (ECL) por etapas</w:t>
      </w:r>
    </w:p>
    <w:p>
      <w:r>
        <w:rPr>
          <w:rFonts w:ascii="Consolas" w:hAnsi="Consolas"/>
        </w:rPr>
        <w:t>Artefacto de origen: provisioning_ifrs9.card</w:t>
      </w:r>
    </w:p>
    <w:p>
      <w:pPr>
        <w:pStyle w:val="Heading3"/>
      </w:pPr>
      <w:r>
        <w:t>Parámetros y payload</w:t>
      </w:r>
    </w:p>
    <w:p>
      <w:r>
        <w:rPr>
          <w:b/>
        </w:rPr>
        <w:t>as_of_date</w:t>
      </w:r>
    </w:p>
    <w:p>
      <w:r>
        <w:rPr>
          <w:rFonts w:ascii="Consolas" w:hAnsi="Consolas"/>
        </w:rPr>
        <w:t>2025-06-30</w:t>
      </w:r>
    </w:p>
    <w:p>
      <w:r>
        <w:rPr>
          <w:b/>
        </w:rPr>
        <w:t>dependency_versions</w:t>
      </w:r>
    </w:p>
    <w:p>
      <w:r>
        <w:rPr>
          <w:rFonts w:ascii="Consolas" w:hAnsi="Consolas"/>
        </w:rPr>
        <w:t>{</w:t>
        <w:br/>
        <w:t xml:space="preserve">  "numpy": "2.4.6",</w:t>
        <w:br/>
        <w:t xml:space="preserve">  "pandas": "2.3.3"</w:t>
        <w:br/>
        <w:t>}</w:t>
      </w:r>
    </w:p>
    <w:p>
      <w:r>
        <w:rPr>
          <w:b/>
        </w:rPr>
        <w:t>effective_config</w:t>
      </w:r>
    </w:p>
    <w:p>
      <w:r>
        <w:rPr>
          <w:rFonts w:ascii="Consolas" w:hAnsi="Consolas"/>
        </w:rPr>
        <w:t>{</w:t>
        <w:br/>
        <w:t xml:space="preserve">  "as_of_date_col": "as_of_date",</w:t>
        <w:br/>
        <w:t xml:space="preserve">  "ead": {</w:t>
        <w:br/>
        <w:t xml:space="preserve">    "ccf_col": null,</w:t>
        <w:br/>
        <w:t xml:space="preserve">    "ccf_value": null,</w:t>
        <w:br/>
        <w:t xml:space="preserve">    "drawn_col": "drawn",</w:t>
        <w:br/>
        <w:t xml:space="preserve">    "ead_col": "ead",</w:t>
        <w:br/>
        <w:t xml:space="preserve">    "exposure_profile_col": null,</w:t>
        <w:br/>
        <w:t xml:space="preserve">    "limit_col": "credit_limit",</w:t>
        <w:br/>
        <w:t xml:space="preserve">    "method": "provided"</w:t>
        <w:br/>
        <w:t xml:space="preserve">  },</w:t>
        <w:br/>
        <w:t xml:space="preserve">  "ecl": {</w:t>
        <w:br/>
        <w:t xml:space="preserve">    "discount_convention": "annual_eir_year_fraction",</w:t>
        <w:br/>
        <w:t xml:space="preserve">    "eir_col": "eir",</w:t>
        <w:br/>
        <w:t xml:space="preserve">    "rounding": "none",</w:t>
        <w:br/>
        <w:t xml:space="preserve">    "stage3_direct": false</w:t>
        <w:br/>
        <w:t xml:space="preserve">  },</w:t>
        <w:br/>
        <w:t xml:space="preserve">  "fail_on_falta_dato": true,</w:t>
        <w:br/>
        <w:t xml:space="preserve">  "lgd": {</w:t>
        <w:br/>
        <w:t xml:space="preserve">    "covariate_cols": [],</w:t>
        <w:br/>
        <w:t xml:space="preserve">    "lgd_cap": "1.000000",</w:t>
        <w:br/>
        <w:t xml:space="preserve">    "lgd_col": "lgd",</w:t>
        <w:br/>
        <w:t xml:space="preserve">    "lgd_floor": "0.000000",</w:t>
        <w:br/>
        <w:t xml:space="preserve">    "method": "provided",</w:t>
        <w:br/>
        <w:t xml:space="preserve">    "recovery_col": null,</w:t>
        <w:br/>
        <w:t xml:space="preserve">    "workout_discount": "eir"</w:t>
        <w:br/>
        <w:t xml:space="preserve">  },</w:t>
        <w:br/>
        <w:t xml:space="preserve">  "pd": {</w:t>
        <w:br/>
        <w:t xml:space="preserve">    "base_pd_source": "term_structure",</w:t>
        <w:br/>
        <w:t xml:space="preserve">    "horizon_12m_periods": 1,</w:t>
        <w:br/>
        <w:t xml:space="preserve">    "max_lifetime_periods": null,</w:t>
        <w:br/>
        <w:t xml:space="preserve">    "pit_mode": "ttc_only",</w:t>
        <w:br/>
        <w:t xml:space="preserve">    "rho": null,</w:t>
        <w:br/>
        <w:t xml:space="preserve">    "rho_col": null,</w:t>
        <w:br/>
        <w:t xml:space="preserve">    "systemic_factor_col": null,</w:t>
        <w:br/>
        <w:t xml:space="preserve">    "term_structure_source": "survival"</w:t>
        <w:br/>
        <w:t xml:space="preserve">  },</w:t>
        <w:br/>
        <w:t xml:space="preserve">  "portfolio_col": "portfolio",</w:t>
        <w:br/>
        <w:t xml:space="preserve">  "portfolio_scheme": null,</w:t>
        <w:br/>
        <w:t xml:space="preserve">  "row_id_col": null,</w:t>
        <w:br/>
        <w:t xml:space="preserve">  "scenarios": {</w:t>
        <w:br/>
        <w:t xml:space="preserve">    "forbid_mean_scenario": true,</w:t>
        <w:br/>
        <w:t xml:space="preserve">    "source": "single",</w:t>
        <w:br/>
        <w:t xml:space="preserve">    "weights": {}</w:t>
        <w:br/>
        <w:t xml:space="preserve">  },</w:t>
        <w:br/>
        <w:t xml:space="preserve">  "schema_version": "1.0.0",</w:t>
        <w:br/>
        <w:t xml:space="preserve">  "staging": {</w:t>
        <w:br/>
        <w:t xml:space="preserve">    "days_past_due_col": "days_past_due",</w:t>
        <w:br/>
        <w:t xml:space="preserve">    "dpd_default_backstop": 90,</w:t>
        <w:br/>
        <w:t xml:space="preserve">    "dpd_sicr_backstop": 30,</w:t>
        <w:br/>
        <w:t xml:space="preserve">    "is_default_col": "is_default",</w:t>
        <w:br/>
        <w:t xml:space="preserve">    "low_credit_risk_col": null,</w:t>
        <w:br/>
        <w:t xml:space="preserve">    "low_credit_risk_exemption": false,</w:t>
        <w:br/>
        <w:t xml:space="preserve">    "notch_downgrade_threshold": null,</w:t>
        <w:br/>
        <w:t xml:space="preserve">    "origination_pd_life_col": null,</w:t>
        <w:br/>
        <w:t xml:space="preserve">    "origination_rating_col": null,</w:t>
        <w:br/>
        <w:t xml:space="preserve">    "rating_col": null,</w:t>
        <w:br/>
        <w:t xml:space="preserve">    "sicr_pd_pit_backstop_multiple": "3.000000",</w:t>
        <w:br/>
        <w:t xml:space="preserve">    "sicr_pd_ratio_threshold": "2.000000",</w:t>
        <w:br/>
        <w:t xml:space="preserve">    "stage_override_col": null</w:t>
        <w:br/>
        <w:t xml:space="preserve">  },</w:t>
        <w:br/>
        <w:t xml:space="preserve">  "type": "standard"</w:t>
        <w:br/>
        <w:t>}</w:t>
      </w:r>
    </w:p>
    <w:p>
      <w:r>
        <w:rPr>
          <w:b/>
        </w:rPr>
        <w:t>falta_dato</w:t>
      </w:r>
    </w:p>
    <w:p>
      <w:r>
        <w:rPr>
          <w:rFonts w:ascii="Consolas" w:hAnsi="Consolas"/>
        </w:rPr>
        <w:t>[</w:t>
        <w:br/>
        <w:t xml:space="preserve">  "FALTA-DATO-IFRS-4"</w:t>
        <w:br/>
        <w:t>]</w:t>
      </w:r>
    </w:p>
    <w:p>
      <w:r>
        <w:rPr>
          <w:b/>
        </w:rPr>
        <w:t>n_rows</w:t>
      </w:r>
    </w:p>
    <w:p>
      <w:r>
        <w:rPr>
          <w:rFonts w:ascii="Consolas" w:hAnsi="Consolas"/>
        </w:rPr>
        <w:t>6000</w:t>
      </w:r>
    </w:p>
    <w:p>
      <w:r>
        <w:rPr>
          <w:b/>
        </w:rPr>
        <w:t>n_stage1</w:t>
      </w:r>
    </w:p>
    <w:p>
      <w:r>
        <w:rPr>
          <w:rFonts w:ascii="Consolas" w:hAnsi="Consolas"/>
        </w:rPr>
        <w:t>5235</w:t>
      </w:r>
    </w:p>
    <w:p>
      <w:r>
        <w:rPr>
          <w:b/>
        </w:rPr>
        <w:t>n_stage2</w:t>
      </w:r>
    </w:p>
    <w:p>
      <w:r>
        <w:rPr>
          <w:rFonts w:ascii="Consolas" w:hAnsi="Consolas"/>
        </w:rPr>
        <w:t>477</w:t>
      </w:r>
    </w:p>
    <w:p>
      <w:r>
        <w:rPr>
          <w:b/>
        </w:rPr>
        <w:t>n_stage3</w:t>
      </w:r>
    </w:p>
    <w:p>
      <w:r>
        <w:rPr>
          <w:rFonts w:ascii="Consolas" w:hAnsi="Consolas"/>
        </w:rPr>
        <w:t>288</w:t>
      </w:r>
    </w:p>
    <w:p>
      <w:r>
        <w:rPr>
          <w:b/>
        </w:rPr>
        <w:t>pit_mode</w:t>
      </w:r>
    </w:p>
    <w:p>
      <w:r>
        <w:rPr>
          <w:rFonts w:ascii="Consolas" w:hAnsi="Consolas"/>
        </w:rPr>
        <w:t>ttc_only</w:t>
      </w:r>
    </w:p>
    <w:p>
      <w:r>
        <w:rPr>
          <w:b/>
        </w:rPr>
        <w:t>scenario_weights</w:t>
      </w:r>
    </w:p>
    <w:p>
      <w:r>
        <w:rPr>
          <w:rFonts w:ascii="Consolas" w:hAnsi="Consolas"/>
        </w:rPr>
        <w:t>{</w:t>
        <w:br/>
        <w:t xml:space="preserve">  "base": "1.000000"</w:t>
        <w:br/>
        <w:t>}</w:t>
      </w:r>
    </w:p>
    <w:p>
      <w:r>
        <w:rPr>
          <w:b/>
        </w:rPr>
        <w:t>scenarios</w:t>
      </w:r>
    </w:p>
    <w:p>
      <w:r>
        <w:rPr>
          <w:rFonts w:ascii="Consolas" w:hAnsi="Consolas"/>
        </w:rPr>
        <w:t>[</w:t>
        <w:br/>
        <w:t xml:space="preserve">  "base"</w:t>
        <w:br/>
        <w:t>]</w:t>
      </w:r>
    </w:p>
    <w:p>
      <w:r>
        <w:rPr>
          <w:b/>
        </w:rPr>
        <w:t>segmentation</w:t>
      </w:r>
    </w:p>
    <w:p>
      <w:r>
        <w:rPr>
          <w:rFonts w:ascii="Consolas" w:hAnsi="Consolas"/>
        </w:rPr>
        <w:t>—</w:t>
      </w:r>
    </w:p>
    <w:p>
      <w:r>
        <w:rPr>
          <w:b/>
        </w:rPr>
        <w:t>term_structure_source</w:t>
      </w:r>
    </w:p>
    <w:p>
      <w:r>
        <w:rPr>
          <w:rFonts w:ascii="Consolas" w:hAnsi="Consolas"/>
        </w:rPr>
        <w:t>survival</w:t>
      </w:r>
    </w:p>
    <w:p>
      <w:r>
        <w:rPr>
          <w:b/>
        </w:rPr>
        <w:t>total_ead</w:t>
      </w:r>
    </w:p>
    <w:p>
      <w:r>
        <w:rPr>
          <w:rFonts w:ascii="Consolas" w:hAnsi="Consolas"/>
        </w:rPr>
        <w:t>114325314.70</w:t>
      </w:r>
    </w:p>
    <w:p>
      <w:r>
        <w:rPr>
          <w:b/>
        </w:rPr>
        <w:t>total_ecl_reported</w:t>
      </w:r>
    </w:p>
    <w:p>
      <w:r>
        <w:rPr>
          <w:rFonts w:ascii="Consolas" w:hAnsi="Consolas"/>
        </w:rPr>
        <w:t>3423116.12</w:t>
      </w:r>
    </w:p>
    <w:p>
      <w:pPr>
        <w:pStyle w:val="Heading3"/>
      </w:pPr>
      <w:r>
        <w:t>Métricas estructuradas</w:t>
      </w:r>
    </w:p>
    <w:p>
      <w:r>
        <w:rPr>
          <w:b/>
        </w:rPr>
        <w:t>ecl_by_scenario</w:t>
      </w:r>
    </w:p>
    <w:p>
      <w:r>
        <w:rPr>
          <w:rFonts w:ascii="Consolas" w:hAnsi="Consolas"/>
        </w:rPr>
        <w:t>{</w:t>
        <w:br/>
        <w:t xml:space="preserve">  "base": "6911516.43"</w:t>
        <w:br/>
        <w:t>}</w:t>
      </w:r>
    </w:p>
    <w:p>
      <w:r>
        <w:rPr>
          <w:b/>
        </w:rPr>
        <w:t>ecl_by_scenario_basis</w:t>
      </w:r>
    </w:p>
    <w:p>
      <w:r>
        <w:rPr>
          <w:rFonts w:ascii="Consolas" w:hAnsi="Consolas"/>
        </w:rPr>
        <w:t>Diagnóstico auditable de la term-structure, no un desglose de total_ecl_reported: suma la ECL marginal descontada de cada escenario por separado, sin aplicar scenario_weights y sobre el horizonte completo de la curva, sin truncar Stage 1 a 12 meses. total_ecl_reported sí pondera por escenario y aplica ese corte por stage, de modo que ambas cifras no reconcilian entre sí: no deben sumarse ni compararse.</w:t>
      </w:r>
    </w:p>
    <w:p>
      <w:r>
        <w:rPr>
          <w:b/>
        </w:rPr>
        <w:t>rounding</w:t>
      </w:r>
    </w:p>
    <w:p>
      <w:r>
        <w:rPr>
          <w:rFonts w:ascii="Consolas" w:hAnsi="Consolas"/>
        </w:rPr>
        <w:t>{</w:t>
        <w:br/>
        <w:t xml:space="preserve">  "policy": "none",</w:t>
        <w:br/>
        <w:t xml:space="preserve">  "total_difference": "0.000000"</w:t>
        <w:br/>
        <w:t>}</w:t>
      </w:r>
    </w:p>
    <w:p>
      <w:r>
        <w:rPr>
          <w:b/>
        </w:rPr>
        <w:t>staging_migration</w:t>
      </w:r>
    </w:p>
    <w:p>
      <w:r>
        <w:rPr>
          <w:rFonts w:ascii="Consolas" w:hAnsi="Consolas"/>
        </w:rPr>
        <w:t>{</w:t>
        <w:br/>
        <w:t xml:space="preserve">  "stage_1": 5235,</w:t>
        <w:br/>
        <w:t xml:space="preserve">  "stage_2": 477,</w:t>
        <w:br/>
        <w:t xml:space="preserve">  "stage_3": 288</w:t>
        <w:br/>
        <w:t>}</w:t>
      </w:r>
    </w:p>
    <w:p>
      <w:r>
        <w:rPr>
          <w:b/>
        </w:rPr>
        <w:t>term_structure_summary</w:t>
      </w:r>
    </w:p>
    <w:p>
      <w:r>
        <w:rPr>
          <w:rFonts w:ascii="Consolas" w:hAnsi="Consolas"/>
        </w:rPr>
        <w:t>{</w:t>
        <w:br/>
        <w:t xml:space="preserve">  "n_rows": 30000,</w:t>
        <w:br/>
        <w:t xml:space="preserve">  "n_scenarios": 1</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Provisiones IFRS 9 / ECL</dc:title>
  <dc:subject>Informe de Provisiones IFRS 9 / ECL</dc:subject>
  <dc:creator>Nikodym</dc:creator>
  <cp:keywords/>
  <dc:description>Generado por Nikodym · config_hash=013e69dc4c96e03ee87e9f3f54bcf5e1f6e6fd56b5a1b1ffdd5bf021093360b6 · data_hash=d713808d0604110d6c450358453cea172934d93eb56ccdcb0e7aea7279a94e3e</dc:description>
  <cp:lastModifiedBy/>
  <cp:revision>1</cp:revision>
  <dcterms:created xsi:type="dcterms:W3CDTF">2013-12-23T23:15:00Z</dcterms:created>
  <dcterms:modified xsi:type="dcterms:W3CDTF">2013-12-23T23:15:00Z</dcterms:modified>
  <cp:category/>
</cp:coreProperties>
</file>