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2026-07-13</w:t>
            </w:r>
          </w:p>
        </w:tc>
      </w:tr>
    </w:tbl>
    <w:p/>
    <w:p>
      <w:r>
        <w:rPr>
          <w:b/>
        </w:rPr>
        <w:t>Trazabilidad de la corrida (lineage)</w:t>
      </w:r>
    </w:p>
    <w:p>
      <w:r>
        <w:rPr>
          <w:rFonts w:ascii="Consolas" w:hAnsi="Consolas"/>
        </w:rPr>
        <w:t>config_hash=9934d4ddab9185e423ece7e7c4791bab1ed815b300cb89f60a88fc18dfde6739</w:t>
      </w:r>
    </w:p>
    <w:p>
      <w:r>
        <w:rPr>
          <w:rFonts w:ascii="Consolas" w:hAnsi="Consolas"/>
        </w:rPr>
        <w:t>data_hash=74c5d9ddeca8ff71853623d20ace015d0788564549339d61bfb66f24dfadfcc8</w:t>
      </w:r>
    </w:p>
    <w:p>
      <w:r>
        <w:rPr>
          <w:rFonts w:ascii="Consolas" w:hAnsi="Consolas"/>
        </w:rPr>
        <w:t>git_sha=a6a9e9e122176eacee0f4279f9edf38064db4378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la integración con IFRS 9 y el cálculo de provisiones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9934d4ddab9185e423ece7e7c4791bab1ed815b300cb89f60a88fc18dfde6739</w:t>
      </w:r>
    </w:p>
    <w:p>
      <w:r>
        <w:rPr>
          <w:b/>
        </w:rPr>
        <w:t>created_at</w:t>
      </w:r>
    </w:p>
    <w:p>
      <w:r>
        <w:rPr>
          <w:rFonts w:ascii="Consolas" w:hAnsi="Consolas"/>
        </w:rPr>
        <w:t>2026-07-13T17:08:57.071435Z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a6a9e9e122176eacee0f4279f9edf38064db4378</w:t>
      </w:r>
    </w:p>
    <w:p>
      <w:r>
        <w:rPr>
          <w:b/>
        </w:rPr>
        <w:t>library_versions</w:t>
      </w:r>
    </w:p>
    <w:p>
      <w:r>
        <w:rPr>
          <w:rFonts w:ascii="Consolas" w:hAnsi="Consolas"/>
        </w:rPr>
        <w:t>{</w:t>
        <w:br/>
        <w:t xml:space="preserve">  "PyYAML": "6.0.3",</w:t>
        <w:br/>
        <w:t xml:space="preserve">  "nikodym": "1.1.2",</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config_hash=9934d4ddab9185e423ece7e7c4791bab1ed815b300cb89f60a88fc18dfde6739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