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2026-07-16</w:t>
            </w:r>
          </w:p>
        </w:tc>
      </w:tr>
    </w:tbl>
    <w:p/>
    <w:p>
      <w:r>
        <w:rPr>
          <w:b/>
        </w:rPr>
        <w:t>Trazabilidad de la corrida (lineage)</w:t>
      </w:r>
    </w:p>
    <w:p>
      <w:r>
        <w:rPr>
          <w:rFonts w:ascii="Consolas" w:hAnsi="Consolas"/>
        </w:rPr>
        <w:t>config_hash=35d372e660ce3f908b77b5d566a9b0ebf2ff8d7c6540e715662779b5bf631d7a</w:t>
      </w:r>
    </w:p>
    <w:p>
      <w:r>
        <w:rPr>
          <w:rFonts w:ascii="Consolas" w:hAnsi="Consolas"/>
        </w:rPr>
        <w:t>data_hash=d713808d0604110d6c450358453cea172934d93eb56ccdcb0e7aea7279a94e3e</w:t>
      </w:r>
    </w:p>
    <w:p>
      <w:r>
        <w:rPr>
          <w:rFonts w:ascii="Consolas" w:hAnsi="Consolas"/>
        </w:rPr>
        <w:t>git_sha=f6eb9411cbea6ce3f4ada1f8892514918468e9bf</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SDD-16),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(SDD-16 en borrador, fuera de la garantía SemVer 1.x): los números son trazables y deterministas, pero la superficie puede cambiar entre versiones.</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step reportó advertencias de datos que el lector debe conocer: la exposición (EAD) se proyectó constante a lo largo de la vida de cada operación, porque el dataset no trae un perfil de exposición por período (código FALTA-DATO-IFRS-4).</w:t>
      </w:r>
    </w:p>
    <w:p>
      <w:r>
        <w:rPr>
          <w:b/>
          <w:sz w:val="18"/>
        </w:rPr>
        <w:t>Tabla «provisioning_ifrs9.summary»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31178795.530000</w:t>
            </w:r>
          </w:p>
        </w:tc>
        <w:tc>
          <w:tcPr>
            <w:tcW w:type="dxa" w:w="1080"/>
          </w:tcPr>
          <w:p>
            <w:r>
              <w:t>581332.243580</w:t>
            </w:r>
          </w:p>
        </w:tc>
        <w:tc>
          <w:tcPr>
            <w:tcW w:type="dxa" w:w="1080"/>
          </w:tcPr>
          <w:p>
            <w:r>
              <w:t>0.018645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3137275.520000</w:t>
            </w:r>
          </w:p>
        </w:tc>
        <w:tc>
          <w:tcPr>
            <w:tcW w:type="dxa" w:w="1080"/>
          </w:tcPr>
          <w:p>
            <w:r>
              <w:t>390914.010042</w:t>
            </w:r>
          </w:p>
        </w:tc>
        <w:tc>
          <w:tcPr>
            <w:tcW w:type="dxa" w:w="1080"/>
          </w:tcPr>
          <w:p>
            <w:r>
              <w:t>0.124603</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2145243.750000</w:t>
            </w:r>
          </w:p>
        </w:tc>
        <w:tc>
          <w:tcPr>
            <w:tcW w:type="dxa" w:w="1080"/>
          </w:tcPr>
          <w:p>
            <w:r>
              <w:t>375806.682635</w:t>
            </w:r>
          </w:p>
        </w:tc>
        <w:tc>
          <w:tcPr>
            <w:tcW w:type="dxa" w:w="1080"/>
          </w:tcPr>
          <w:p>
            <w:r>
              <w:t>0.175181</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18099269.130000</w:t>
            </w:r>
          </w:p>
        </w:tc>
        <w:tc>
          <w:tcPr>
            <w:tcW w:type="dxa" w:w="1080"/>
          </w:tcPr>
          <w:p>
            <w:r>
              <w:t>393131.231195</w:t>
            </w:r>
          </w:p>
        </w:tc>
        <w:tc>
          <w:tcPr>
            <w:tcW w:type="dxa" w:w="1080"/>
          </w:tcPr>
          <w:p>
            <w:r>
              <w:t>0.021721</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1561397.650000</w:t>
            </w:r>
          </w:p>
        </w:tc>
        <w:tc>
          <w:tcPr>
            <w:tcW w:type="dxa" w:w="1080"/>
          </w:tcPr>
          <w:p>
            <w:r>
              <w:t>201559.528273</w:t>
            </w:r>
          </w:p>
        </w:tc>
        <w:tc>
          <w:tcPr>
            <w:tcW w:type="dxa" w:w="1080"/>
          </w:tcPr>
          <w:p>
            <w:r>
              <w:t>0.129089</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990794.930000</w:t>
            </w:r>
          </w:p>
        </w:tc>
        <w:tc>
          <w:tcPr>
            <w:tcW w:type="dxa" w:w="1080"/>
          </w:tcPr>
          <w:p>
            <w:r>
              <w:t>178471.854437</w:t>
            </w:r>
          </w:p>
        </w:tc>
        <w:tc>
          <w:tcPr>
            <w:tcW w:type="dxa" w:w="1080"/>
          </w:tcPr>
          <w:p>
            <w:r>
              <w:t>0.180130</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43611647.090000</w:t>
            </w:r>
          </w:p>
        </w:tc>
        <w:tc>
          <w:tcPr>
            <w:tcW w:type="dxa" w:w="1080"/>
          </w:tcPr>
          <w:p>
            <w:r>
              <w:t>437771.237634</w:t>
            </w:r>
          </w:p>
        </w:tc>
        <w:tc>
          <w:tcPr>
            <w:tcW w:type="dxa" w:w="1080"/>
          </w:tcPr>
          <w:p>
            <w:r>
              <w:t>0.010038</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3693801.390000</w:t>
            </w:r>
          </w:p>
        </w:tc>
        <w:tc>
          <w:tcPr>
            <w:tcW w:type="dxa" w:w="1080"/>
          </w:tcPr>
          <w:p>
            <w:r>
              <w:t>303704.226219</w:t>
            </w:r>
          </w:p>
        </w:tc>
        <w:tc>
          <w:tcPr>
            <w:tcW w:type="dxa" w:w="1080"/>
          </w:tcPr>
          <w:p>
            <w:r>
              <w:t>0.082220</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2244951.100000</w:t>
            </w:r>
          </w:p>
        </w:tc>
        <w:tc>
          <w:tcPr>
            <w:tcW w:type="dxa" w:w="1080"/>
          </w:tcPr>
          <w:p>
            <w:r>
              <w:t>251942.927804</w:t>
            </w:r>
          </w:p>
        </w:tc>
        <w:tc>
          <w:tcPr>
            <w:tcW w:type="dxa" w:w="1080"/>
          </w:tcPr>
          <w:p>
            <w:r>
              <w:t>0.112226</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6614503.170000</w:t>
            </w:r>
          </w:p>
        </w:tc>
        <w:tc>
          <w:tcPr>
            <w:tcW w:type="dxa" w:w="1080"/>
          </w:tcPr>
          <w:p>
            <w:r>
              <w:t>159269.346809</w:t>
            </w:r>
          </w:p>
        </w:tc>
        <w:tc>
          <w:tcPr>
            <w:tcW w:type="dxa" w:w="1080"/>
          </w:tcPr>
          <w:p>
            <w:r>
              <w:t>0.024079</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672454.410000</w:t>
            </w:r>
          </w:p>
        </w:tc>
        <w:tc>
          <w:tcPr>
            <w:tcW w:type="dxa" w:w="1080"/>
          </w:tcPr>
          <w:p>
            <w:r>
              <w:t>84444.873375</w:t>
            </w:r>
          </w:p>
        </w:tc>
        <w:tc>
          <w:tcPr>
            <w:tcW w:type="dxa" w:w="1080"/>
          </w:tcPr>
          <w:p>
            <w:r>
              <w:t>0.125577</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375181.030000</w:t>
            </w:r>
          </w:p>
        </w:tc>
        <w:tc>
          <w:tcPr>
            <w:tcW w:type="dxa" w:w="1080"/>
          </w:tcPr>
          <w:p>
            <w:r>
              <w:t>64767.956594</w:t>
            </w:r>
          </w:p>
        </w:tc>
        <w:tc>
          <w:tcPr>
            <w:tcW w:type="dxa" w:w="1080"/>
          </w:tcPr>
          <w:p>
            <w:r>
              <w:t>0.172631</w:t>
            </w:r>
          </w:p>
        </w:tc>
        <w:tc>
          <w:tcPr>
            <w:tcW w:type="dxa" w:w="1080"/>
          </w:tcPr>
          <w:p>
            <w:r>
              <w:t>[</w:t>
              <w:br/>
              <w:t xml:space="preserve">  "FALTA-DATO-IFRS-4"</w:t>
              <w:br/>
              <w:t>]</w:t>
            </w:r>
          </w:p>
        </w:tc>
      </w:tr>
    </w:tbl>
    <w:p>
      <w:pPr>
        <w:pStyle w:val="Heading1"/>
      </w:pPr>
      <w:r>
        <w:t>5 Conclusiones y recomendación</w:t>
      </w:r>
    </w:p>
    <w:p>
      <w:r>
        <w:t>El motor no dispone de hallazgos automáticos que resumir: la corrida no publicó las cards de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(SDD-16 en borrador) fuera de la garantía SemVer 1.x. La curva PD lifetime se ajustó en esta misma corrida de forma autocontenida sobre la historia de la propia cartera, sin insumos de un scorecard de originación; su validación completa como modelo —discriminación, calibración y estabilidad— no forma parte de esta corrida. El backtesting de la ECL corresponde a fases posteriores y no se cubre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35d372e660ce3f908b77b5d566a9b0ebf2ff8d7c6540e715662779b5bf631d7a</w:t>
      </w:r>
    </w:p>
    <w:p>
      <w:r>
        <w:rPr>
          <w:b/>
        </w:rPr>
        <w:t>created_at</w:t>
      </w:r>
    </w:p>
    <w:p>
      <w:r>
        <w:rPr>
          <w:rFonts w:ascii="Consolas" w:hAnsi="Consolas"/>
        </w:rPr>
        <w:t>2026-07-16T23:00:42.568432Z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f6eb9411cbea6ce3f4ada1f8892514918468e9bf</w:t>
      </w:r>
    </w:p>
    <w:p>
      <w:r>
        <w:rPr>
          <w:b/>
        </w:rPr>
        <w:t>library_versions</w:t>
      </w:r>
    </w:p>
    <w:p>
      <w:r>
        <w:rPr>
          <w:rFonts w:ascii="Consolas" w:hAnsi="Consolas"/>
        </w:rPr>
        <w:t>{</w:t>
        <w:br/>
        <w:t xml:space="preserve">  "PyYAML": "6.0.3",</w:t>
        <w:br/>
        <w:t xml:space="preserve">  "nikodym": "1.2.0",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w:t>
      </w:r>
    </w:p>
    <w:p>
      <w:pPr>
        <w:pStyle w:val="Heading1"/>
      </w:pPr>
      <w:r>
        <w:t>Anexo C — Parámetros completos</w:t>
      </w:r>
    </w:p>
    <w:p>
      <w:r>
        <w:t>Este anexo reproduce el payload completo de cada etapa: los parámetros efectivos y las métricas estructuradas tal como las publicó cada step, sin resumir.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config_hash=35d372e660ce3f908b77b5d566a9b0ebf2ff8d7c6540e715662779b5bf631d7a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